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D922A1">
      <w:pPr>
        <w:keepNext w:val="0"/>
        <w:keepLines w:val="0"/>
        <w:widowControl/>
        <w:suppressLineNumbers w:val="0"/>
        <w:jc w:val="left"/>
        <w:textAlignment w:val="center"/>
        <w:rPr>
          <w:rFonts w:hint="eastAsia" w:ascii="黑体" w:hAnsi="黑体" w:eastAsia="黑体" w:cs="黑体"/>
          <w:i w:val="0"/>
          <w:iCs w:val="0"/>
          <w:color w:val="000000"/>
          <w:kern w:val="0"/>
          <w:sz w:val="32"/>
          <w:szCs w:val="32"/>
          <w:u w:val="none"/>
          <w:lang w:val="en-US" w:eastAsia="zh-CN" w:bidi="ar"/>
        </w:rPr>
      </w:pPr>
      <w:r>
        <w:rPr>
          <w:rFonts w:hint="eastAsia" w:ascii="黑体" w:hAnsi="黑体" w:eastAsia="黑体" w:cs="黑体"/>
          <w:i w:val="0"/>
          <w:iCs w:val="0"/>
          <w:color w:val="000000"/>
          <w:kern w:val="0"/>
          <w:sz w:val="32"/>
          <w:szCs w:val="32"/>
          <w:u w:val="none"/>
          <w:lang w:val="en-US" w:eastAsia="zh-CN" w:bidi="ar"/>
        </w:rPr>
        <w:t>附件2：</w:t>
      </w:r>
    </w:p>
    <w:p w14:paraId="1C4CA202">
      <w:pPr>
        <w:pStyle w:val="2"/>
        <w:rPr>
          <w:rFonts w:hint="default"/>
          <w:lang w:val="en-US" w:eastAsia="zh-CN"/>
        </w:rPr>
      </w:pPr>
    </w:p>
    <w:p w14:paraId="2721C69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napToGrid/>
          <w:kern w:val="2"/>
          <w:sz w:val="44"/>
          <w:szCs w:val="44"/>
          <w:lang w:val="en-US" w:eastAsia="zh-CN" w:bidi="ar-SA"/>
        </w:rPr>
      </w:pPr>
      <w:r>
        <w:rPr>
          <w:rFonts w:hint="eastAsia" w:ascii="方正小标宋_GBK" w:hAnsi="方正小标宋_GBK" w:eastAsia="方正小标宋_GBK" w:cs="方正小标宋_GBK"/>
          <w:snapToGrid/>
          <w:kern w:val="2"/>
          <w:sz w:val="44"/>
          <w:szCs w:val="44"/>
          <w:lang w:val="en-US" w:eastAsia="zh-CN" w:bidi="ar-SA"/>
        </w:rPr>
        <w:t>2026年度福田区社会工作专项资金项目</w:t>
      </w:r>
    </w:p>
    <w:p w14:paraId="745CB71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napToGrid/>
          <w:kern w:val="2"/>
          <w:sz w:val="44"/>
          <w:szCs w:val="44"/>
          <w:lang w:val="en-US" w:eastAsia="zh-CN" w:bidi="ar-SA"/>
        </w:rPr>
      </w:pPr>
      <w:r>
        <w:rPr>
          <w:rFonts w:hint="eastAsia" w:ascii="方正小标宋_GBK" w:hAnsi="方正小标宋_GBK" w:eastAsia="方正小标宋_GBK" w:cs="方正小标宋_GBK"/>
          <w:snapToGrid/>
          <w:kern w:val="2"/>
          <w:sz w:val="44"/>
          <w:szCs w:val="44"/>
          <w:lang w:val="en-US" w:eastAsia="zh-CN" w:bidi="ar-SA"/>
        </w:rPr>
        <w:t>在线申报操作指南</w:t>
      </w:r>
    </w:p>
    <w:p w14:paraId="798674FA">
      <w:pPr>
        <w:pStyle w:val="2"/>
        <w:rPr>
          <w:rFonts w:hint="eastAsia"/>
          <w:lang w:val="en-US" w:eastAsia="zh-CN"/>
        </w:rPr>
      </w:pPr>
    </w:p>
    <w:p w14:paraId="04B87EC1">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本指南适用于参加2026年度福田区社会工作专项资金申报项目的社会组织及高校，全面了解在线申报平台操作规范有关要求，顺利完成申报。</w:t>
      </w:r>
    </w:p>
    <w:p w14:paraId="7C867741">
      <w:pPr>
        <w:ind w:firstLine="640" w:firstLineChars="200"/>
        <w:rPr>
          <w:rFonts w:hint="eastAsia"/>
          <w:lang w:val="en-US" w:eastAsia="zh-CN"/>
        </w:rPr>
      </w:pPr>
      <w:r>
        <w:rPr>
          <w:rFonts w:hint="eastAsia" w:ascii="仿宋_GB2312" w:hAnsi="仿宋_GB2312" w:eastAsia="仿宋_GB2312" w:cs="仿宋_GB2312"/>
          <w:b w:val="0"/>
          <w:bCs w:val="0"/>
          <w:color w:val="000000"/>
          <w:kern w:val="0"/>
          <w:sz w:val="32"/>
          <w:szCs w:val="32"/>
          <w:lang w:val="en-US" w:eastAsia="zh-CN" w:bidi="ar"/>
        </w:rPr>
        <w:t>本指南结合福田区社会工作专项资金在线申报工作要求，编写内容为两个部分，分别是社会工作专项资金申报操作步骤和在线申报操作说明。如有疑问可拨打咨询电话 0755-83673156、0755-83673926，或加</w:t>
      </w:r>
      <w:r>
        <w:rPr>
          <w:rFonts w:hint="eastAsia" w:ascii="仿宋_GB2312" w:hAnsi="仿宋_GB2312" w:eastAsia="仿宋_GB2312" w:cs="仿宋_GB2312"/>
          <w:b w:val="0"/>
          <w:bCs w:val="0"/>
          <w:color w:val="000000"/>
          <w:kern w:val="0"/>
          <w:sz w:val="32"/>
          <w:szCs w:val="32"/>
          <w:highlight w:val="none"/>
          <w:lang w:val="en-US" w:eastAsia="zh-CN" w:bidi="ar"/>
        </w:rPr>
        <w:t>入QQ咨询群</w:t>
      </w:r>
      <w:r>
        <w:rPr>
          <w:rFonts w:hint="eastAsia" w:ascii="仿宋_GB2312" w:hAnsi="仿宋_GB2312" w:eastAsia="仿宋_GB2312" w:cs="仿宋_GB2312"/>
          <w:i w:val="0"/>
          <w:iCs w:val="0"/>
          <w:caps w:val="0"/>
          <w:color w:val="000000"/>
          <w:spacing w:val="0"/>
          <w:kern w:val="0"/>
          <w:sz w:val="32"/>
          <w:szCs w:val="32"/>
          <w:highlight w:val="none"/>
          <w:shd w:val="clear" w:fill="auto"/>
          <w:lang w:bidi="ar"/>
        </w:rPr>
        <w:t>551239660</w:t>
      </w:r>
      <w:r>
        <w:rPr>
          <w:rFonts w:hint="eastAsia" w:ascii="仿宋_GB2312" w:hAnsi="仿宋_GB2312" w:eastAsia="仿宋_GB2312" w:cs="仿宋_GB2312"/>
          <w:b w:val="0"/>
          <w:bCs w:val="0"/>
          <w:color w:val="000000"/>
          <w:kern w:val="0"/>
          <w:sz w:val="32"/>
          <w:szCs w:val="32"/>
          <w:lang w:val="en-US" w:eastAsia="zh-CN" w:bidi="ar"/>
        </w:rPr>
        <w:t>。</w:t>
      </w:r>
    </w:p>
    <w:p w14:paraId="018A2EE9">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t>一、社会工作专项资金申报四步骤</w:t>
      </w:r>
    </w:p>
    <w:p w14:paraId="4CC10330">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楷体" w:hAnsi="楷体" w:eastAsia="楷体" w:cs="楷体"/>
          <w:b w:val="0"/>
          <w:bCs w:val="0"/>
          <w:color w:val="000000"/>
          <w:kern w:val="0"/>
          <w:sz w:val="32"/>
          <w:szCs w:val="32"/>
          <w:lang w:val="en-US" w:eastAsia="zh-CN" w:bidi="ar"/>
        </w:rPr>
        <w:t>（一）阅读福田区社会工作专项资金相关资料，这将有助于您更好地了解专项资金的政策、具体申报要求和方法，顺利地进行项目的申报，建议阅读内容包括：</w:t>
      </w:r>
    </w:p>
    <w:p w14:paraId="1133BDE1">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1.《福田区社会工作专项资金使用管理办法》（福府办规〔2025〕1号）</w:t>
      </w:r>
    </w:p>
    <w:p w14:paraId="65DF993D">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2.2026年度福田区社会建设专项资金项目申报公告</w:t>
      </w:r>
    </w:p>
    <w:p w14:paraId="4B5DC8DE">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3.《2026年度福田区社会建设专项资金在线申报操作指南》(即本操作指南)</w:t>
      </w:r>
    </w:p>
    <w:p w14:paraId="16080D29">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b w:val="0"/>
          <w:bCs w:val="0"/>
          <w:color w:val="000000"/>
          <w:kern w:val="0"/>
          <w:sz w:val="32"/>
          <w:szCs w:val="32"/>
          <w:lang w:val="en-US" w:eastAsia="zh-CN" w:bidi="ar"/>
        </w:rPr>
      </w:pPr>
      <w:r>
        <w:rPr>
          <w:rFonts w:hint="eastAsia" w:ascii="楷体" w:hAnsi="楷体" w:eastAsia="楷体" w:cs="楷体"/>
          <w:b w:val="0"/>
          <w:bCs w:val="0"/>
          <w:color w:val="000000"/>
          <w:kern w:val="0"/>
          <w:sz w:val="32"/>
          <w:szCs w:val="32"/>
          <w:lang w:val="en-US" w:eastAsia="zh-CN" w:bidi="ar"/>
        </w:rPr>
        <w:t>（二）下载申报材料模板</w:t>
      </w:r>
    </w:p>
    <w:p w14:paraId="48DD21C7">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val="0"/>
          <w:color w:val="000000"/>
          <w:kern w:val="0"/>
          <w:sz w:val="32"/>
          <w:szCs w:val="32"/>
          <w:lang w:val="en-US" w:eastAsia="zh-CN"/>
        </w:rPr>
      </w:pPr>
      <w:r>
        <w:rPr>
          <w:rFonts w:hint="eastAsia" w:ascii="仿宋_GB2312" w:hAnsi="仿宋_GB2312" w:eastAsia="仿宋_GB2312" w:cs="仿宋_GB2312"/>
          <w:b w:val="0"/>
          <w:bCs w:val="0"/>
          <w:color w:val="000000"/>
          <w:kern w:val="0"/>
          <w:sz w:val="32"/>
          <w:szCs w:val="32"/>
          <w:lang w:val="en-US" w:eastAsia="zh-CN" w:bidi="ar"/>
        </w:rPr>
        <w:t>通过“福田政府在线”官方网址，下载申报材料模板， 申报材料包括：</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09"/>
      </w:tblGrid>
      <w:tr w14:paraId="52CE4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9" w:hRule="atLeast"/>
          <w:jc w:val="center"/>
        </w:trPr>
        <w:tc>
          <w:tcPr>
            <w:tcW w:w="7309" w:type="dxa"/>
          </w:tcPr>
          <w:p w14:paraId="7149FDB3">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40" w:firstLineChars="200"/>
              <w:jc w:val="left"/>
              <w:textAlignment w:val="baseline"/>
              <w:rPr>
                <w:rFonts w:hint="eastAsia" w:ascii="仿宋_GB2312" w:hAnsi="仿宋_GB2312" w:eastAsia="仿宋_GB2312" w:cs="仿宋_GB2312"/>
                <w:color w:val="auto"/>
                <w:sz w:val="32"/>
                <w:szCs w:val="32"/>
                <w:vertAlign w:val="baseline"/>
              </w:rPr>
            </w:pPr>
            <w:r>
              <w:rPr>
                <w:rFonts w:hint="eastAsia" w:ascii="仿宋_GB2312" w:hAnsi="仿宋_GB2312" w:eastAsia="仿宋_GB2312" w:cs="仿宋_GB2312"/>
                <w:color w:val="auto"/>
                <w:sz w:val="32"/>
                <w:szCs w:val="32"/>
                <w:vertAlign w:val="baseline"/>
              </w:rPr>
              <w:t>附件</w:t>
            </w:r>
            <w:r>
              <w:rPr>
                <w:rFonts w:hint="eastAsia" w:ascii="仿宋_GB2312" w:hAnsi="仿宋_GB2312" w:eastAsia="仿宋_GB2312" w:cs="仿宋_GB2312"/>
                <w:color w:val="auto"/>
                <w:sz w:val="32"/>
                <w:szCs w:val="32"/>
                <w:vertAlign w:val="baseline"/>
                <w:lang w:val="en-US" w:eastAsia="zh-CN"/>
              </w:rPr>
              <w:t>4</w:t>
            </w:r>
            <w:r>
              <w:rPr>
                <w:rFonts w:hint="eastAsia" w:ascii="仿宋_GB2312" w:hAnsi="仿宋_GB2312" w:eastAsia="仿宋_GB2312" w:cs="仿宋_GB2312"/>
                <w:color w:val="auto"/>
                <w:sz w:val="32"/>
                <w:szCs w:val="32"/>
                <w:vertAlign w:val="baseline"/>
              </w:rPr>
              <w:t>：项目申报书</w:t>
            </w:r>
          </w:p>
          <w:p w14:paraId="0BC903FA">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40" w:firstLineChars="200"/>
              <w:jc w:val="left"/>
              <w:textAlignment w:val="baseline"/>
              <w:rPr>
                <w:rFonts w:hint="eastAsia" w:ascii="仿宋_GB2312" w:hAnsi="仿宋_GB2312" w:eastAsia="仿宋_GB2312" w:cs="仿宋_GB2312"/>
                <w:color w:val="auto"/>
                <w:sz w:val="32"/>
                <w:szCs w:val="32"/>
                <w:vertAlign w:val="baseline"/>
              </w:rPr>
            </w:pPr>
            <w:r>
              <w:rPr>
                <w:rFonts w:hint="eastAsia" w:ascii="仿宋_GB2312" w:hAnsi="仿宋_GB2312" w:eastAsia="仿宋_GB2312" w:cs="仿宋_GB2312"/>
                <w:color w:val="auto"/>
                <w:sz w:val="32"/>
                <w:szCs w:val="32"/>
                <w:vertAlign w:val="baseline"/>
              </w:rPr>
              <w:t>附件</w:t>
            </w:r>
            <w:r>
              <w:rPr>
                <w:rFonts w:hint="eastAsia" w:ascii="仿宋_GB2312" w:hAnsi="仿宋_GB2312" w:eastAsia="仿宋_GB2312" w:cs="仿宋_GB2312"/>
                <w:color w:val="auto"/>
                <w:sz w:val="32"/>
                <w:szCs w:val="32"/>
                <w:vertAlign w:val="baseline"/>
                <w:lang w:val="en-US" w:eastAsia="zh-CN"/>
              </w:rPr>
              <w:t>5</w:t>
            </w:r>
            <w:r>
              <w:rPr>
                <w:rFonts w:hint="eastAsia" w:ascii="仿宋_GB2312" w:hAnsi="仿宋_GB2312" w:eastAsia="仿宋_GB2312" w:cs="仿宋_GB2312"/>
                <w:color w:val="auto"/>
                <w:sz w:val="32"/>
                <w:szCs w:val="32"/>
                <w:vertAlign w:val="baseline"/>
              </w:rPr>
              <w:t>：项目预算明细表</w:t>
            </w:r>
          </w:p>
          <w:p w14:paraId="392B0C5E">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40" w:firstLineChars="200"/>
              <w:jc w:val="left"/>
              <w:textAlignment w:val="baseline"/>
              <w:rPr>
                <w:rFonts w:hint="eastAsia" w:ascii="仿宋_GB2312" w:hAnsi="仿宋_GB2312" w:eastAsia="仿宋_GB2312" w:cs="仿宋_GB2312"/>
                <w:sz w:val="32"/>
                <w:szCs w:val="32"/>
                <w:vertAlign w:val="baseline"/>
              </w:rPr>
            </w:pPr>
            <w:r>
              <w:rPr>
                <w:rFonts w:hint="eastAsia" w:ascii="仿宋_GB2312" w:hAnsi="仿宋_GB2312" w:eastAsia="仿宋_GB2312" w:cs="仿宋_GB2312"/>
                <w:color w:val="auto"/>
                <w:sz w:val="32"/>
                <w:szCs w:val="32"/>
                <w:vertAlign w:val="baseline"/>
              </w:rPr>
              <w:t>附件</w:t>
            </w:r>
            <w:r>
              <w:rPr>
                <w:rFonts w:hint="eastAsia" w:ascii="仿宋_GB2312" w:hAnsi="仿宋_GB2312" w:eastAsia="仿宋_GB2312" w:cs="仿宋_GB2312"/>
                <w:color w:val="auto"/>
                <w:sz w:val="32"/>
                <w:szCs w:val="32"/>
                <w:vertAlign w:val="baseline"/>
                <w:lang w:val="en-US" w:eastAsia="zh-CN"/>
              </w:rPr>
              <w:t>7</w:t>
            </w:r>
            <w:r>
              <w:rPr>
                <w:rFonts w:hint="eastAsia" w:ascii="仿宋_GB2312" w:hAnsi="仿宋_GB2312" w:eastAsia="仿宋_GB2312" w:cs="仿宋_GB2312"/>
                <w:color w:val="auto"/>
                <w:sz w:val="32"/>
                <w:szCs w:val="32"/>
                <w:vertAlign w:val="baseline"/>
              </w:rPr>
              <w:t>：申报项目承诺书</w:t>
            </w:r>
          </w:p>
        </w:tc>
      </w:tr>
    </w:tbl>
    <w:p w14:paraId="173EFD36">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b w:val="0"/>
          <w:bCs w:val="0"/>
          <w:color w:val="000000"/>
          <w:kern w:val="0"/>
          <w:sz w:val="32"/>
          <w:szCs w:val="32"/>
          <w:lang w:val="en-US" w:eastAsia="zh-CN" w:bidi="ar"/>
        </w:rPr>
      </w:pPr>
      <w:r>
        <w:rPr>
          <w:rFonts w:hint="eastAsia" w:ascii="楷体" w:hAnsi="楷体" w:eastAsia="楷体" w:cs="楷体"/>
          <w:b w:val="0"/>
          <w:bCs w:val="0"/>
          <w:color w:val="000000"/>
          <w:kern w:val="0"/>
          <w:sz w:val="32"/>
          <w:szCs w:val="32"/>
          <w:lang w:val="en-US" w:eastAsia="zh-CN" w:bidi="ar"/>
        </w:rPr>
        <w:t>（三）准备申报材料(电子版)</w:t>
      </w:r>
    </w:p>
    <w:p w14:paraId="772FDC3F">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1.第二步骤中要求的各项附件；</w:t>
      </w:r>
    </w:p>
    <w:p w14:paraId="573331C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2.申报项目机构基本资质材料；</w:t>
      </w:r>
    </w:p>
    <w:p w14:paraId="2A234BF6">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（1）法人登记证书、开户许可证（社会组织适用）；</w:t>
      </w:r>
    </w:p>
    <w:p w14:paraId="309D0855">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（2）事业单位法人登记证书、办学证明、开户许可证等原件扫描件（高校适用）；</w:t>
      </w:r>
    </w:p>
    <w:p w14:paraId="670082A7">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（3）机构管理制度（内部管理制度、信息公开制度、民主监督制度、财务管理制度、财务核算制度和资产管理制度）；</w:t>
      </w:r>
    </w:p>
    <w:p w14:paraId="110C2934">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（4）依法缴纳税收证明材料；</w:t>
      </w:r>
    </w:p>
    <w:p w14:paraId="5061AC4D">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（5）办公场所情况证明（租赁合同，场地照片等）；</w:t>
      </w:r>
    </w:p>
    <w:p w14:paraId="30DAFB4C">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（6）项目团队专业人员及相关资质证明（劳动合同、近三个月社保证明、学历、证书等）；</w:t>
      </w:r>
    </w:p>
    <w:p w14:paraId="20BD19B1">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注：非相关证件原件扫描件的，请加盖机构公章后再做扫描。</w:t>
      </w:r>
    </w:p>
    <w:p w14:paraId="4885C34E">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3.财务会计报告或验资报告等资产财务状况证明扫描件：</w:t>
      </w:r>
    </w:p>
    <w:p w14:paraId="52E55A6F">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（1）2025年1月1日前成立的组织，请提供2024年审计报告；</w:t>
      </w:r>
    </w:p>
    <w:p w14:paraId="116379DB">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（2）2025年1月1日后成立的组织，未进行年审的提供近半年的财务报表；</w:t>
      </w:r>
    </w:p>
    <w:p w14:paraId="1A84DBF8">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（3）成立不满半年的组织,须提供组织开户银行开具的资信证明。</w:t>
      </w:r>
    </w:p>
    <w:p w14:paraId="556EFF16">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4.成立党组织的相关证明材料：申报项目机构成立党支部的，提交成立党支部的相关佐证材料；</w:t>
      </w:r>
    </w:p>
    <w:p w14:paraId="50D4F111">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5.申报项目需与政府部门、学校、医院、其他社会组织等社会主体合作的，须提交相应的合作证明文件（包括但不限于合作协议或合作意向文件等，可自拟模板）；申报项目中需与其他主体合作开展的服务，至少出具不低于总指标量60%的合作证明文件；</w:t>
      </w:r>
    </w:p>
    <w:p w14:paraId="547225B2">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6.获得社会资金及物资支持证明材料（项目若有社会资金/物资支持，需提供相关证明材料）</w:t>
      </w:r>
    </w:p>
    <w:p w14:paraId="4E69172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7.申报单位其他有重要参考价值的资料（承接政府转移职能以及政府购买服务情况证明、已参加评估的提供评估等级证明、申请项目获得社会资金或物资支持的有效凭证等以及其他具有参考价值的材料）。</w:t>
      </w:r>
    </w:p>
    <w:p w14:paraId="03E49014">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b w:val="0"/>
          <w:bCs w:val="0"/>
          <w:color w:val="000000"/>
          <w:kern w:val="0"/>
          <w:sz w:val="32"/>
          <w:szCs w:val="32"/>
          <w:lang w:val="en-US" w:eastAsia="zh-CN" w:bidi="ar"/>
        </w:rPr>
      </w:pPr>
      <w:r>
        <w:rPr>
          <w:rFonts w:hint="eastAsia" w:ascii="楷体" w:hAnsi="楷体" w:eastAsia="楷体" w:cs="楷体"/>
          <w:b w:val="0"/>
          <w:bCs w:val="0"/>
          <w:color w:val="000000"/>
          <w:kern w:val="0"/>
          <w:sz w:val="32"/>
          <w:szCs w:val="32"/>
          <w:lang w:val="en-US" w:eastAsia="zh-CN" w:bidi="ar"/>
        </w:rPr>
        <w:t>第四步：填写申报信息</w:t>
      </w:r>
    </w:p>
    <w:p w14:paraId="2F27D067">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申报时间从2026年5月12日——2026年5月25日24时止，申报机构登录2026年度福田区社会工作专项资金项目在线申报平台进行申报，并在指定位置上传材料。</w:t>
      </w:r>
    </w:p>
    <w:p w14:paraId="344CB6E0">
      <w:pPr>
        <w:pStyle w:val="3"/>
        <w:ind w:left="0" w:leftChars="0" w:firstLine="640" w:firstLineChars="200"/>
        <w:rPr>
          <w:rFonts w:hint="eastAsia" w:ascii="黑体" w:hAnsi="黑体" w:eastAsia="黑体" w:cs="黑体"/>
          <w:b w:val="0"/>
          <w:bCs w:val="0"/>
          <w:color w:val="000000"/>
          <w:kern w:val="0"/>
          <w:sz w:val="32"/>
          <w:szCs w:val="32"/>
          <w:highlight w:val="none"/>
          <w:lang w:val="en-US" w:eastAsia="zh-CN" w:bidi="ar"/>
        </w:rPr>
      </w:pPr>
      <w:r>
        <w:rPr>
          <w:rFonts w:hint="eastAsia" w:ascii="黑体" w:hAnsi="黑体" w:eastAsia="黑体" w:cs="黑体"/>
          <w:b w:val="0"/>
          <w:bCs w:val="0"/>
          <w:color w:val="000000"/>
          <w:kern w:val="0"/>
          <w:sz w:val="32"/>
          <w:szCs w:val="32"/>
          <w:highlight w:val="none"/>
          <w:lang w:val="en-US" w:eastAsia="zh-CN" w:bidi="ar"/>
        </w:rPr>
        <w:t>二、在线申报操作说明</w:t>
      </w:r>
    </w:p>
    <w:p w14:paraId="19F3B2B9">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b w:val="0"/>
          <w:bCs w:val="0"/>
          <w:color w:val="000000"/>
          <w:kern w:val="0"/>
          <w:sz w:val="32"/>
          <w:szCs w:val="32"/>
          <w:lang w:val="en-US" w:eastAsia="zh-CN" w:bidi="ar"/>
        </w:rPr>
      </w:pPr>
      <w:r>
        <w:rPr>
          <w:rFonts w:hint="eastAsia" w:ascii="楷体" w:hAnsi="楷体" w:eastAsia="楷体" w:cs="楷体"/>
          <w:b w:val="0"/>
          <w:bCs w:val="0"/>
          <w:color w:val="000000"/>
          <w:kern w:val="0"/>
          <w:sz w:val="32"/>
          <w:szCs w:val="32"/>
          <w:lang w:val="en-US" w:eastAsia="zh-CN" w:bidi="ar"/>
        </w:rPr>
        <w:t>（一）登录申报平台方式</w:t>
      </w:r>
    </w:p>
    <w:p w14:paraId="4E4311C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auto"/>
          <w:sz w:val="32"/>
          <w:szCs w:val="32"/>
          <w:highlight w:val="none"/>
          <w:lang w:eastAsia="zh-CN"/>
        </w:rPr>
        <w:t>本年度专项资金项目申报</w:t>
      </w:r>
      <w:r>
        <w:rPr>
          <w:rFonts w:hint="eastAsia" w:ascii="仿宋_GB2312" w:hAnsi="仿宋_GB2312" w:eastAsia="仿宋_GB2312" w:cs="仿宋_GB2312"/>
          <w:b w:val="0"/>
          <w:bCs w:val="0"/>
          <w:color w:val="auto"/>
          <w:sz w:val="32"/>
          <w:szCs w:val="32"/>
          <w:highlight w:val="none"/>
        </w:rPr>
        <w:t>时间为：</w:t>
      </w:r>
      <w:r>
        <w:rPr>
          <w:rFonts w:hint="eastAsia" w:ascii="仿宋_GB2312" w:hAnsi="仿宋_GB2312" w:eastAsia="仿宋_GB2312" w:cs="仿宋_GB2312"/>
          <w:b w:val="0"/>
          <w:bCs w:val="0"/>
          <w:color w:val="auto"/>
          <w:sz w:val="32"/>
          <w:szCs w:val="32"/>
          <w:highlight w:val="none"/>
          <w:lang w:eastAsia="zh-CN"/>
        </w:rPr>
        <w:t>2026年</w:t>
      </w:r>
      <w:r>
        <w:rPr>
          <w:rFonts w:hint="eastAsia" w:ascii="仿宋_GB2312" w:hAnsi="仿宋_GB2312" w:eastAsia="仿宋_GB2312" w:cs="仿宋_GB2312"/>
          <w:b w:val="0"/>
          <w:bCs w:val="0"/>
          <w:color w:val="auto"/>
          <w:sz w:val="32"/>
          <w:szCs w:val="32"/>
          <w:highlight w:val="none"/>
          <w:lang w:val="en-US" w:eastAsia="zh-CN"/>
        </w:rPr>
        <w:t>5</w:t>
      </w:r>
      <w:r>
        <w:rPr>
          <w:rFonts w:hint="eastAsia" w:ascii="仿宋_GB2312" w:hAnsi="仿宋_GB2312" w:eastAsia="仿宋_GB2312" w:cs="仿宋_GB2312"/>
          <w:b w:val="0"/>
          <w:bCs w:val="0"/>
          <w:color w:val="auto"/>
          <w:sz w:val="32"/>
          <w:szCs w:val="32"/>
          <w:highlight w:val="none"/>
        </w:rPr>
        <w:t>月</w:t>
      </w:r>
      <w:r>
        <w:rPr>
          <w:rFonts w:hint="eastAsia" w:ascii="仿宋_GB2312" w:hAnsi="仿宋_GB2312" w:eastAsia="仿宋_GB2312" w:cs="仿宋_GB2312"/>
          <w:b w:val="0"/>
          <w:bCs w:val="0"/>
          <w:color w:val="auto"/>
          <w:sz w:val="32"/>
          <w:szCs w:val="32"/>
          <w:highlight w:val="none"/>
          <w:lang w:val="en-US" w:eastAsia="zh-CN"/>
        </w:rPr>
        <w:t>12</w:t>
      </w:r>
      <w:r>
        <w:rPr>
          <w:rFonts w:hint="eastAsia" w:ascii="仿宋_GB2312" w:hAnsi="仿宋_GB2312" w:eastAsia="仿宋_GB2312" w:cs="仿宋_GB2312"/>
          <w:b w:val="0"/>
          <w:bCs w:val="0"/>
          <w:color w:val="auto"/>
          <w:sz w:val="32"/>
          <w:szCs w:val="32"/>
          <w:highlight w:val="none"/>
        </w:rPr>
        <w:t>日——</w:t>
      </w:r>
      <w:r>
        <w:rPr>
          <w:rFonts w:hint="eastAsia" w:ascii="仿宋_GB2312" w:hAnsi="仿宋_GB2312" w:eastAsia="仿宋_GB2312" w:cs="仿宋_GB2312"/>
          <w:b w:val="0"/>
          <w:bCs w:val="0"/>
          <w:color w:val="auto"/>
          <w:sz w:val="32"/>
          <w:szCs w:val="32"/>
          <w:highlight w:val="none"/>
          <w:lang w:eastAsia="zh-CN"/>
        </w:rPr>
        <w:t>2026年</w:t>
      </w:r>
      <w:r>
        <w:rPr>
          <w:rFonts w:hint="eastAsia" w:ascii="仿宋_GB2312" w:hAnsi="仿宋_GB2312" w:eastAsia="仿宋_GB2312" w:cs="仿宋_GB2312"/>
          <w:b w:val="0"/>
          <w:bCs w:val="0"/>
          <w:color w:val="auto"/>
          <w:sz w:val="32"/>
          <w:szCs w:val="32"/>
          <w:highlight w:val="none"/>
          <w:lang w:val="en-US" w:eastAsia="zh-CN"/>
        </w:rPr>
        <w:t>5</w:t>
      </w:r>
      <w:r>
        <w:rPr>
          <w:rFonts w:hint="eastAsia" w:ascii="仿宋_GB2312" w:hAnsi="仿宋_GB2312" w:eastAsia="仿宋_GB2312" w:cs="仿宋_GB2312"/>
          <w:b w:val="0"/>
          <w:bCs w:val="0"/>
          <w:color w:val="auto"/>
          <w:sz w:val="32"/>
          <w:szCs w:val="32"/>
          <w:highlight w:val="none"/>
        </w:rPr>
        <w:t>月</w:t>
      </w:r>
      <w:r>
        <w:rPr>
          <w:rFonts w:hint="eastAsia" w:ascii="仿宋_GB2312" w:hAnsi="仿宋_GB2312" w:eastAsia="仿宋_GB2312" w:cs="仿宋_GB2312"/>
          <w:b w:val="0"/>
          <w:bCs w:val="0"/>
          <w:color w:val="auto"/>
          <w:sz w:val="32"/>
          <w:szCs w:val="32"/>
          <w:highlight w:val="none"/>
          <w:lang w:val="en-US" w:eastAsia="zh-CN"/>
        </w:rPr>
        <w:t>25</w:t>
      </w:r>
      <w:r>
        <w:rPr>
          <w:rFonts w:hint="eastAsia" w:ascii="仿宋_GB2312" w:hAnsi="仿宋_GB2312" w:eastAsia="仿宋_GB2312" w:cs="仿宋_GB2312"/>
          <w:b w:val="0"/>
          <w:bCs w:val="0"/>
          <w:color w:val="auto"/>
          <w:sz w:val="32"/>
          <w:szCs w:val="32"/>
          <w:highlight w:val="none"/>
        </w:rPr>
        <w:t>日</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10个工作日</w:t>
      </w:r>
      <w:r>
        <w:rPr>
          <w:rFonts w:hint="eastAsia" w:ascii="仿宋_GB2312" w:hAnsi="仿宋_GB2312" w:eastAsia="仿宋_GB2312" w:cs="仿宋_GB2312"/>
          <w:b w:val="0"/>
          <w:bCs w:val="0"/>
          <w:color w:val="auto"/>
          <w:sz w:val="32"/>
          <w:szCs w:val="32"/>
          <w:highlight w:val="none"/>
          <w:lang w:eastAsia="zh-CN"/>
        </w:rPr>
        <w:t>）。</w:t>
      </w:r>
    </w:p>
    <w:p w14:paraId="7283D0F6">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1.打开网址</w:t>
      </w:r>
    </w:p>
    <w:p w14:paraId="54E4365C">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复制以下链接至浏览器，登录2026年度福田区社会工作专项资金项目在线申报平台，建议使用双核浏览器、QQ浏览器或Microsoft Edge浏览器：</w:t>
      </w:r>
    </w:p>
    <w:p w14:paraId="7D08DC3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fldChar w:fldCharType="begin"/>
      </w:r>
      <w:r>
        <w:rPr>
          <w:rFonts w:hint="eastAsia" w:ascii="仿宋_GB2312" w:hAnsi="仿宋_GB2312" w:eastAsia="仿宋_GB2312" w:cs="仿宋_GB2312"/>
          <w:b w:val="0"/>
          <w:bCs w:val="0"/>
          <w:color w:val="000000"/>
          <w:kern w:val="0"/>
          <w:sz w:val="32"/>
          <w:szCs w:val="32"/>
          <w:lang w:val="en-US" w:eastAsia="zh-CN" w:bidi="ar"/>
        </w:rPr>
        <w:instrText xml:space="preserve"> HYPERLINK "https://ftshgzb.szft.gov.cn/fundsapp/#/" </w:instrText>
      </w:r>
      <w:r>
        <w:rPr>
          <w:rFonts w:hint="eastAsia" w:ascii="仿宋_GB2312" w:hAnsi="仿宋_GB2312" w:eastAsia="仿宋_GB2312" w:cs="仿宋_GB2312"/>
          <w:b w:val="0"/>
          <w:bCs w:val="0"/>
          <w:color w:val="000000"/>
          <w:kern w:val="0"/>
          <w:sz w:val="32"/>
          <w:szCs w:val="32"/>
          <w:lang w:val="en-US" w:eastAsia="zh-CN" w:bidi="ar"/>
        </w:rPr>
        <w:fldChar w:fldCharType="separate"/>
      </w:r>
      <w:r>
        <w:rPr>
          <w:rStyle w:val="8"/>
          <w:rFonts w:hint="eastAsia" w:ascii="仿宋_GB2312" w:hAnsi="仿宋_GB2312" w:eastAsia="仿宋_GB2312" w:cs="仿宋_GB2312"/>
          <w:b w:val="0"/>
          <w:bCs w:val="0"/>
          <w:kern w:val="0"/>
          <w:sz w:val="32"/>
          <w:szCs w:val="32"/>
          <w:lang w:val="en-US" w:eastAsia="zh-CN" w:bidi="ar"/>
        </w:rPr>
        <w:t>https://ftshgzb.szft.gov.cn/fundsapp/#/</w:t>
      </w:r>
      <w:r>
        <w:rPr>
          <w:rFonts w:hint="eastAsia" w:ascii="仿宋_GB2312" w:hAnsi="仿宋_GB2312" w:eastAsia="仿宋_GB2312" w:cs="仿宋_GB2312"/>
          <w:b w:val="0"/>
          <w:bCs w:val="0"/>
          <w:color w:val="000000"/>
          <w:kern w:val="0"/>
          <w:sz w:val="32"/>
          <w:szCs w:val="32"/>
          <w:lang w:val="en-US" w:eastAsia="zh-CN" w:bidi="ar"/>
        </w:rPr>
        <w:fldChar w:fldCharType="end"/>
      </w:r>
      <w:bookmarkStart w:id="0" w:name="_GoBack"/>
      <w:bookmarkEnd w:id="0"/>
    </w:p>
    <w:p w14:paraId="204B3B48">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2.注册，点击立即注册按钮，如下图所示：</w:t>
      </w:r>
    </w:p>
    <w:p w14:paraId="5912986A">
      <w:pPr>
        <w:pStyle w:val="2"/>
        <w:ind w:left="491" w:leftChars="100" w:hanging="281" w:hangingChars="100"/>
        <w:rPr>
          <w:rFonts w:hint="eastAsia" w:ascii="仿宋_GB2312" w:hAnsi="仿宋_GB2312" w:eastAsia="仿宋_GB2312" w:cs="仿宋_GB2312"/>
          <w:b w:val="0"/>
          <w:smallCaps w:val="0"/>
          <w:color w:val="000000"/>
          <w:kern w:val="0"/>
          <w:sz w:val="32"/>
          <w:szCs w:val="32"/>
          <w:lang w:val="en-US" w:eastAsia="zh-CN" w:bidi="ar"/>
        </w:rPr>
      </w:pPr>
      <w:r>
        <w:drawing>
          <wp:inline distT="0" distB="0" distL="114300" distR="114300">
            <wp:extent cx="5266690" cy="2520950"/>
            <wp:effectExtent l="0" t="0" r="10160" b="1270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66690" cy="2520950"/>
                    </a:xfrm>
                    <a:prstGeom prst="rect">
                      <a:avLst/>
                    </a:prstGeom>
                    <a:noFill/>
                    <a:ln>
                      <a:noFill/>
                    </a:ln>
                  </pic:spPr>
                </pic:pic>
              </a:graphicData>
            </a:graphic>
          </wp:inline>
        </w:drawing>
      </w:r>
      <w:r>
        <w:rPr>
          <w:rFonts w:hint="eastAsia" w:ascii="仿宋_GB2312" w:hAnsi="仿宋_GB2312" w:eastAsia="仿宋_GB2312" w:cs="仿宋_GB2312"/>
          <w:b w:val="0"/>
          <w:bCs w:val="0"/>
          <w:smallCaps w:val="0"/>
          <w:color w:val="000000"/>
          <w:kern w:val="0"/>
          <w:sz w:val="32"/>
          <w:szCs w:val="32"/>
          <w:lang w:val="en-US" w:eastAsia="zh-CN" w:bidi="ar"/>
        </w:rPr>
        <w:t>3.进行注册信息录入，如下图所示：</w:t>
      </w:r>
    </w:p>
    <w:p w14:paraId="3997FCA7">
      <w:pPr>
        <w:pStyle w:val="2"/>
      </w:pPr>
      <w:r>
        <w:drawing>
          <wp:inline distT="0" distB="0" distL="114300" distR="114300">
            <wp:extent cx="5266690" cy="2520950"/>
            <wp:effectExtent l="0" t="0" r="10160" b="1270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5"/>
                    <a:stretch>
                      <a:fillRect/>
                    </a:stretch>
                  </pic:blipFill>
                  <pic:spPr>
                    <a:xfrm>
                      <a:off x="0" y="0"/>
                      <a:ext cx="5266690" cy="2520950"/>
                    </a:xfrm>
                    <a:prstGeom prst="rect">
                      <a:avLst/>
                    </a:prstGeom>
                    <a:noFill/>
                    <a:ln>
                      <a:noFill/>
                    </a:ln>
                  </pic:spPr>
                </pic:pic>
              </a:graphicData>
            </a:graphic>
          </wp:inline>
        </w:drawing>
      </w:r>
    </w:p>
    <w:p w14:paraId="10D6A10F">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4.注册信息录入完毕后点击完成注册，自动跳转至登录页面。</w:t>
      </w:r>
    </w:p>
    <w:p w14:paraId="00A5CB25">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b w:val="0"/>
          <w:bCs w:val="0"/>
          <w:color w:val="000000"/>
          <w:kern w:val="0"/>
          <w:sz w:val="32"/>
          <w:szCs w:val="32"/>
          <w:lang w:val="en-US" w:eastAsia="zh-CN" w:bidi="ar"/>
        </w:rPr>
      </w:pPr>
      <w:r>
        <w:rPr>
          <w:rFonts w:hint="eastAsia" w:ascii="楷体" w:hAnsi="楷体" w:eastAsia="楷体" w:cs="楷体"/>
          <w:b w:val="0"/>
          <w:bCs w:val="0"/>
          <w:color w:val="000000"/>
          <w:kern w:val="0"/>
          <w:sz w:val="32"/>
          <w:szCs w:val="32"/>
          <w:lang w:val="en-US" w:eastAsia="zh-CN" w:bidi="ar"/>
        </w:rPr>
        <w:t>（二）登录</w:t>
      </w:r>
    </w:p>
    <w:p w14:paraId="64341E16">
      <w:pPr>
        <w:numPr>
          <w:ilvl w:val="0"/>
          <w:numId w:val="0"/>
        </w:numPr>
        <w:rPr>
          <w:rFonts w:hint="default"/>
          <w:color w:val="E54C5E" w:themeColor="accent6"/>
          <w:lang w:val="en-US" w:eastAsia="zh-CN"/>
          <w14:textFill>
            <w14:solidFill>
              <w14:schemeClr w14:val="accent6"/>
            </w14:solidFill>
          </w14:textFill>
        </w:rPr>
      </w:pPr>
      <w:r>
        <w:rPr>
          <w:rFonts w:hint="eastAsia"/>
          <w:lang w:val="en-US" w:eastAsia="zh-CN"/>
        </w:rPr>
        <w:t xml:space="preserve">       </w:t>
      </w:r>
      <w:r>
        <w:rPr>
          <w:rFonts w:hint="eastAsia" w:ascii="仿宋_GB2312" w:hAnsi="仿宋_GB2312" w:eastAsia="仿宋_GB2312" w:cs="仿宋_GB2312"/>
          <w:b w:val="0"/>
          <w:bCs w:val="0"/>
          <w:color w:val="000000"/>
          <w:kern w:val="0"/>
          <w:sz w:val="32"/>
          <w:szCs w:val="32"/>
          <w:lang w:val="en-US" w:eastAsia="zh-CN" w:bidi="ar"/>
        </w:rPr>
        <w:t>注：首次登录需要用户强制修改初始密码，修改成功后重新登录即可</w:t>
      </w:r>
    </w:p>
    <w:p w14:paraId="530F5E5C">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登录方式一：账号密码加验证码登录（如下图所示）</w:t>
      </w:r>
    </w:p>
    <w:p w14:paraId="4C82B41F">
      <w:r>
        <w:drawing>
          <wp:inline distT="0" distB="0" distL="114300" distR="114300">
            <wp:extent cx="4965065" cy="2581275"/>
            <wp:effectExtent l="0" t="0" r="6985"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tretch>
                      <a:fillRect/>
                    </a:stretch>
                  </pic:blipFill>
                  <pic:spPr>
                    <a:xfrm>
                      <a:off x="0" y="0"/>
                      <a:ext cx="4965065" cy="2581275"/>
                    </a:xfrm>
                    <a:prstGeom prst="rect">
                      <a:avLst/>
                    </a:prstGeom>
                    <a:noFill/>
                    <a:ln>
                      <a:noFill/>
                    </a:ln>
                  </pic:spPr>
                </pic:pic>
              </a:graphicData>
            </a:graphic>
          </wp:inline>
        </w:drawing>
      </w:r>
    </w:p>
    <w:p w14:paraId="0E8426A1">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登录方式二：手机号验证码登录（如下图所示）</w:t>
      </w:r>
    </w:p>
    <w:p w14:paraId="6E989375">
      <w:pPr>
        <w:rPr>
          <w:rFonts w:hint="default"/>
          <w:lang w:val="en-US" w:eastAsia="zh-CN"/>
        </w:rPr>
      </w:pPr>
      <w:r>
        <w:drawing>
          <wp:inline distT="0" distB="0" distL="114300" distR="114300">
            <wp:extent cx="5052695" cy="2604135"/>
            <wp:effectExtent l="0" t="0" r="14605" b="571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tretch>
                      <a:fillRect/>
                    </a:stretch>
                  </pic:blipFill>
                  <pic:spPr>
                    <a:xfrm>
                      <a:off x="0" y="0"/>
                      <a:ext cx="5052695" cy="2604135"/>
                    </a:xfrm>
                    <a:prstGeom prst="rect">
                      <a:avLst/>
                    </a:prstGeom>
                    <a:noFill/>
                    <a:ln>
                      <a:noFill/>
                    </a:ln>
                  </pic:spPr>
                </pic:pic>
              </a:graphicData>
            </a:graphic>
          </wp:inline>
        </w:drawing>
      </w:r>
    </w:p>
    <w:p w14:paraId="54729837">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b w:val="0"/>
          <w:bCs w:val="0"/>
          <w:color w:val="000000"/>
          <w:kern w:val="0"/>
          <w:sz w:val="32"/>
          <w:szCs w:val="32"/>
          <w:lang w:val="en-US" w:eastAsia="zh-CN" w:bidi="ar"/>
        </w:rPr>
      </w:pPr>
      <w:r>
        <w:rPr>
          <w:rFonts w:hint="eastAsia" w:ascii="楷体" w:hAnsi="楷体" w:eastAsia="楷体" w:cs="楷体"/>
          <w:b w:val="0"/>
          <w:bCs w:val="0"/>
          <w:color w:val="000000"/>
          <w:kern w:val="0"/>
          <w:sz w:val="32"/>
          <w:szCs w:val="32"/>
          <w:lang w:val="en-US" w:eastAsia="zh-CN" w:bidi="ar"/>
        </w:rPr>
        <w:t>（三）在线申报</w:t>
      </w:r>
    </w:p>
    <w:p w14:paraId="75EDDCE8">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1.点击项目申报或首页→快捷通道→项目申报查看申报项目列表（如下图所示）</w:t>
      </w:r>
    </w:p>
    <w:p w14:paraId="2E2FE492">
      <w:pPr>
        <w:pStyle w:val="2"/>
      </w:pPr>
      <w:r>
        <w:drawing>
          <wp:inline distT="0" distB="0" distL="114300" distR="114300">
            <wp:extent cx="4896485" cy="2343785"/>
            <wp:effectExtent l="0" t="0" r="18415" b="1841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stretch>
                      <a:fillRect/>
                    </a:stretch>
                  </pic:blipFill>
                  <pic:spPr>
                    <a:xfrm>
                      <a:off x="0" y="0"/>
                      <a:ext cx="4896485" cy="2343785"/>
                    </a:xfrm>
                    <a:prstGeom prst="rect">
                      <a:avLst/>
                    </a:prstGeom>
                    <a:noFill/>
                    <a:ln>
                      <a:noFill/>
                    </a:ln>
                  </pic:spPr>
                </pic:pic>
              </a:graphicData>
            </a:graphic>
          </wp:inline>
        </w:drawing>
      </w:r>
    </w:p>
    <w:p w14:paraId="091F3113">
      <w:r>
        <w:drawing>
          <wp:inline distT="0" distB="0" distL="114300" distR="114300">
            <wp:extent cx="5037455" cy="2411095"/>
            <wp:effectExtent l="0" t="0" r="10795" b="825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9"/>
                    <a:stretch>
                      <a:fillRect/>
                    </a:stretch>
                  </pic:blipFill>
                  <pic:spPr>
                    <a:xfrm>
                      <a:off x="0" y="0"/>
                      <a:ext cx="5037455" cy="2411095"/>
                    </a:xfrm>
                    <a:prstGeom prst="rect">
                      <a:avLst/>
                    </a:prstGeom>
                    <a:noFill/>
                    <a:ln>
                      <a:noFill/>
                    </a:ln>
                  </pic:spPr>
                </pic:pic>
              </a:graphicData>
            </a:graphic>
          </wp:inline>
        </w:drawing>
      </w:r>
    </w:p>
    <w:p w14:paraId="73440E96">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2.点击查看详细→查看申报的详细内容→点击在线申报按钮即可进入申报界面（如下图所示）</w:t>
      </w:r>
    </w:p>
    <w:p w14:paraId="156C266C">
      <w:pPr>
        <w:pStyle w:val="2"/>
      </w:pPr>
      <w:r>
        <w:drawing>
          <wp:inline distT="0" distB="0" distL="114300" distR="114300">
            <wp:extent cx="5266690" cy="2520950"/>
            <wp:effectExtent l="0" t="0" r="10160" b="1270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0"/>
                    <a:stretch>
                      <a:fillRect/>
                    </a:stretch>
                  </pic:blipFill>
                  <pic:spPr>
                    <a:xfrm>
                      <a:off x="0" y="0"/>
                      <a:ext cx="5266690" cy="2520950"/>
                    </a:xfrm>
                    <a:prstGeom prst="rect">
                      <a:avLst/>
                    </a:prstGeom>
                    <a:noFill/>
                    <a:ln>
                      <a:noFill/>
                    </a:ln>
                  </pic:spPr>
                </pic:pic>
              </a:graphicData>
            </a:graphic>
          </wp:inline>
        </w:drawing>
      </w:r>
    </w:p>
    <w:p w14:paraId="7FD11A80">
      <w:r>
        <w:drawing>
          <wp:inline distT="0" distB="0" distL="114300" distR="114300">
            <wp:extent cx="5266690" cy="2520950"/>
            <wp:effectExtent l="0" t="0" r="10160" b="1270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1"/>
                    <a:stretch>
                      <a:fillRect/>
                    </a:stretch>
                  </pic:blipFill>
                  <pic:spPr>
                    <a:xfrm>
                      <a:off x="0" y="0"/>
                      <a:ext cx="5266690" cy="2520950"/>
                    </a:xfrm>
                    <a:prstGeom prst="rect">
                      <a:avLst/>
                    </a:prstGeom>
                    <a:noFill/>
                    <a:ln>
                      <a:noFill/>
                    </a:ln>
                  </pic:spPr>
                </pic:pic>
              </a:graphicData>
            </a:graphic>
          </wp:inline>
        </w:drawing>
      </w:r>
    </w:p>
    <w:p w14:paraId="503DB1C2">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3.申报信息填写完毕后点击保存，申报信息立即自动提交，后续在个人中心→我的申报，可以查看申报历史记录以及详情（如下图所示）</w:t>
      </w:r>
    </w:p>
    <w:p w14:paraId="1729628D">
      <w:pPr>
        <w:pStyle w:val="2"/>
        <w:rPr>
          <w:rFonts w:hint="default"/>
          <w:lang w:val="en-US" w:eastAsia="zh-CN"/>
        </w:rPr>
      </w:pPr>
      <w:r>
        <w:drawing>
          <wp:inline distT="0" distB="0" distL="114300" distR="114300">
            <wp:extent cx="5266690" cy="2520950"/>
            <wp:effectExtent l="0" t="0" r="10160" b="1270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2"/>
                    <a:stretch>
                      <a:fillRect/>
                    </a:stretch>
                  </pic:blipFill>
                  <pic:spPr>
                    <a:xfrm>
                      <a:off x="0" y="0"/>
                      <a:ext cx="5266690" cy="2520950"/>
                    </a:xfrm>
                    <a:prstGeom prst="rect">
                      <a:avLst/>
                    </a:prstGeom>
                    <a:noFill/>
                    <a:ln>
                      <a:noFill/>
                    </a:ln>
                  </pic:spPr>
                </pic:pic>
              </a:graphicData>
            </a:graphic>
          </wp:inline>
        </w:drawing>
      </w:r>
    </w:p>
    <w:p w14:paraId="34AD1EA5">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b w:val="0"/>
          <w:bCs w:val="0"/>
          <w:color w:val="000000"/>
          <w:kern w:val="0"/>
          <w:sz w:val="32"/>
          <w:szCs w:val="32"/>
          <w:lang w:val="en-US" w:eastAsia="zh-CN" w:bidi="ar"/>
        </w:rPr>
      </w:pPr>
      <w:r>
        <w:rPr>
          <w:rFonts w:hint="eastAsia" w:ascii="楷体" w:hAnsi="楷体" w:eastAsia="楷体" w:cs="楷体"/>
          <w:b w:val="0"/>
          <w:bCs w:val="0"/>
          <w:color w:val="000000"/>
          <w:kern w:val="0"/>
          <w:sz w:val="32"/>
          <w:szCs w:val="32"/>
          <w:lang w:val="en-US" w:eastAsia="zh-CN" w:bidi="ar"/>
        </w:rPr>
        <w:t>（四）其他功能说明</w:t>
      </w:r>
    </w:p>
    <w:p w14:paraId="398692D0">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1.公示公告，此模块主要展示社会工作专项资金相关公示公告，点击可查看详情。</w:t>
      </w:r>
    </w:p>
    <w:p w14:paraId="14AE5D69">
      <w:pPr>
        <w:pStyle w:val="2"/>
        <w:numPr>
          <w:ilvl w:val="0"/>
          <w:numId w:val="0"/>
        </w:numPr>
        <w:rPr>
          <w:rFonts w:hint="default"/>
          <w:lang w:val="en-US" w:eastAsia="zh-CN"/>
        </w:rPr>
      </w:pPr>
      <w:r>
        <w:rPr>
          <w:rFonts w:hint="eastAsia"/>
          <w:lang w:val="en-US" w:eastAsia="zh-CN"/>
        </w:rPr>
        <w:t xml:space="preserve">   </w:t>
      </w:r>
      <w:r>
        <w:drawing>
          <wp:inline distT="0" distB="0" distL="114300" distR="114300">
            <wp:extent cx="5266690" cy="2520950"/>
            <wp:effectExtent l="0" t="0" r="10160" b="1270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3"/>
                    <a:stretch>
                      <a:fillRect/>
                    </a:stretch>
                  </pic:blipFill>
                  <pic:spPr>
                    <a:xfrm>
                      <a:off x="0" y="0"/>
                      <a:ext cx="5266690" cy="2520950"/>
                    </a:xfrm>
                    <a:prstGeom prst="rect">
                      <a:avLst/>
                    </a:prstGeom>
                    <a:noFill/>
                    <a:ln>
                      <a:noFill/>
                    </a:ln>
                  </pic:spPr>
                </pic:pic>
              </a:graphicData>
            </a:graphic>
          </wp:inline>
        </w:drawing>
      </w:r>
    </w:p>
    <w:p w14:paraId="3B26F5A1">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2.政策法规，此功能主要展示社会工作专项资金相关政策法规，便于申报方及时了解最新的政策法规。</w:t>
      </w:r>
    </w:p>
    <w:p w14:paraId="509B82C6">
      <w:pPr>
        <w:pStyle w:val="2"/>
        <w:numPr>
          <w:ilvl w:val="0"/>
          <w:numId w:val="0"/>
        </w:numPr>
        <w:ind w:leftChars="200"/>
      </w:pPr>
      <w:r>
        <w:drawing>
          <wp:inline distT="0" distB="0" distL="114300" distR="114300">
            <wp:extent cx="5266690" cy="2520950"/>
            <wp:effectExtent l="0" t="0" r="10160" b="1270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4"/>
                    <a:stretch>
                      <a:fillRect/>
                    </a:stretch>
                  </pic:blipFill>
                  <pic:spPr>
                    <a:xfrm>
                      <a:off x="0" y="0"/>
                      <a:ext cx="5266690" cy="2520950"/>
                    </a:xfrm>
                    <a:prstGeom prst="rect">
                      <a:avLst/>
                    </a:prstGeom>
                    <a:noFill/>
                    <a:ln>
                      <a:noFill/>
                    </a:ln>
                  </pic:spPr>
                </pic:pic>
              </a:graphicData>
            </a:graphic>
          </wp:inline>
        </w:drawing>
      </w:r>
    </w:p>
    <w:p w14:paraId="5CEE5B58">
      <w:pPr>
        <w:rPr>
          <w:rFonts w:hint="default"/>
          <w:lang w:val="en-US" w:eastAsia="zh-CN"/>
        </w:rPr>
      </w:pPr>
    </w:p>
    <w:p w14:paraId="1755048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演示新手书"/>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演示新手书"/>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演示新手书">
    <w:panose1 w:val="000005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704CFA"/>
    <w:rsid w:val="17FFD82A"/>
    <w:rsid w:val="3B704CFA"/>
    <w:rsid w:val="3FDF0DEE"/>
    <w:rsid w:val="3FFA579C"/>
    <w:rsid w:val="7DBD9194"/>
    <w:rsid w:val="7FBB3407"/>
    <w:rsid w:val="7FDF3182"/>
    <w:rsid w:val="9FFF44A9"/>
    <w:rsid w:val="AFCD5313"/>
    <w:rsid w:val="CB3F59BD"/>
    <w:rsid w:val="D1FEEBE8"/>
    <w:rsid w:val="EF37664B"/>
    <w:rsid w:val="EFBEF8EE"/>
    <w:rsid w:val="F6F72A84"/>
    <w:rsid w:val="FF35DC6C"/>
    <w:rsid w:val="FFDFDD1E"/>
    <w:rsid w:val="FFFDC5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oc 2"/>
    <w:basedOn w:val="1"/>
    <w:next w:val="1"/>
    <w:unhideWhenUsed/>
    <w:qFormat/>
    <w:uiPriority w:val="39"/>
    <w:pPr>
      <w:ind w:left="210"/>
      <w:jc w:val="left"/>
    </w:pPr>
    <w:rPr>
      <w:rFonts w:cs="Calibri"/>
      <w:b/>
      <w:smallCaps/>
      <w:sz w:val="28"/>
      <w:szCs w:val="20"/>
    </w:rPr>
  </w:style>
  <w:style w:type="paragraph" w:styleId="3">
    <w:name w:val="Normal Indent"/>
    <w:basedOn w:val="1"/>
    <w:next w:val="1"/>
    <w:qFormat/>
    <w:uiPriority w:val="0"/>
    <w:pPr>
      <w:ind w:firstLine="567"/>
    </w:p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1</TotalTime>
  <ScaleCrop>false</ScaleCrop>
  <LinksUpToDate>false</LinksUpToDate>
  <CharactersWithSpaces>0</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2026-05-07T14:54:00Z</dcterms:created>
  <dc:creator>张嗯嗯</dc:creator>
  <cp:lastModifiedBy>mmq</cp:lastModifiedBy>
  <dcterms:modified xsi:type="dcterms:W3CDTF">2026-05-11T17:49:32Z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5E4C282D6A5F40EE81FED9A231737312_11</vt:lpwstr>
  </property>
  <property fmtid="{D5CDD505-2E9C-101B-9397-08002B2CF9AE}" pid="4" name="KSOTemplateDocerSaveRecord">
    <vt:lpwstr>eyJoZGlkIjoiNWMyOTMzYzJkYTg0NGYyMGEzZThiMTA3NjA4MjA4M2QiLCJ1c2VySWQiOiIzMTIxNTIzMTQifQ==</vt:lpwstr>
  </property>
</Properties>
</file>