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仿宋_GB2312" w:eastAsia="仿宋_GB2312" w:cs="仿宋_GB2312"/>
          <w:color w:val="auto"/>
          <w:sz w:val="32"/>
          <w:szCs w:val="32"/>
          <w:lang w:val="en-US" w:eastAsia="zh-CN"/>
        </w:rPr>
      </w:pPr>
      <w:bookmarkStart w:id="0" w:name="RiseOffice_body"/>
    </w:p>
    <w:p>
      <w:pPr>
        <w:spacing w:line="560" w:lineRule="exact"/>
        <w:ind w:left="482" w:firstLine="0" w:firstLineChars="0"/>
        <w:jc w:val="center"/>
        <w:outlineLvl w:val="0"/>
        <w:rPr>
          <w:rFonts w:hint="eastAsia"/>
          <w:b/>
          <w:color w:val="auto"/>
          <w:szCs w:val="24"/>
        </w:rPr>
      </w:pPr>
      <w:r>
        <w:rPr>
          <w:rFonts w:hint="eastAsia" w:ascii="方正小标宋_GBK" w:hAnsi="方正小标宋_GBK" w:eastAsia="方正小标宋_GBK" w:cs="方正小标宋_GBK"/>
          <w:color w:val="auto"/>
          <w:sz w:val="44"/>
          <w:szCs w:val="44"/>
          <w:lang w:eastAsia="zh-CN"/>
        </w:rPr>
        <w:t>用水计划变更申请提交材料清单</w:t>
      </w:r>
    </w:p>
    <w:p>
      <w:pPr>
        <w:pStyle w:val="15"/>
        <w:spacing w:line="520" w:lineRule="exact"/>
        <w:ind w:left="482" w:firstLine="0" w:firstLineChars="0"/>
        <w:rPr>
          <w:rFonts w:hint="eastAsia"/>
          <w:b/>
          <w:color w:val="auto"/>
          <w:szCs w:val="24"/>
        </w:rPr>
      </w:pPr>
    </w:p>
    <w:p>
      <w:pPr>
        <w:pStyle w:val="15"/>
        <w:spacing w:line="520" w:lineRule="exact"/>
        <w:ind w:left="482" w:firstLine="0" w:firstLineChars="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w:t>
      </w:r>
      <w:r>
        <w:rPr>
          <w:rFonts w:hint="eastAsia" w:ascii="黑体" w:hAnsi="黑体" w:eastAsia="黑体" w:cs="黑体"/>
          <w:b w:val="0"/>
          <w:bCs/>
          <w:color w:val="auto"/>
          <w:sz w:val="28"/>
          <w:szCs w:val="28"/>
          <w:lang w:val="en-US" w:eastAsia="zh-CN"/>
        </w:rPr>
        <w:t>申请</w:t>
      </w:r>
      <w:r>
        <w:rPr>
          <w:rFonts w:hint="eastAsia" w:ascii="黑体" w:hAnsi="黑体" w:eastAsia="黑体" w:cs="黑体"/>
          <w:b w:val="0"/>
          <w:bCs/>
          <w:color w:val="auto"/>
          <w:sz w:val="28"/>
          <w:szCs w:val="28"/>
        </w:rPr>
        <w:t>途径</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单位用户对超计划加价收费有异议的，可以在接到加价收费通知后60日内向福田区水务主管部门书面提出用水计划变更申请，电子版扫描件发送至邮箱：swjszy@szft.gov.cn，咨询电话：【李工、袁工82918622】。</w:t>
      </w:r>
    </w:p>
    <w:p>
      <w:pPr>
        <w:pStyle w:val="15"/>
        <w:spacing w:line="520" w:lineRule="exact"/>
        <w:ind w:left="482" w:firstLine="0" w:firstLineChars="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二、单位用户应提供的材料</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用水计划变更申请</w:t>
      </w:r>
      <w:r>
        <w:rPr>
          <w:rFonts w:hint="eastAsia" w:ascii="仿宋_GB2312" w:hAnsi="仿宋_GB2312" w:eastAsia="仿宋_GB2312" w:cs="仿宋_GB2312"/>
          <w:color w:val="auto"/>
          <w:sz w:val="28"/>
          <w:szCs w:val="28"/>
        </w:rPr>
        <w:t>说明书；</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营业执照/行政事业单位法人证书的复印件；</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法定代表人身份证明</w:t>
      </w:r>
      <w:r>
        <w:rPr>
          <w:rFonts w:hint="eastAsia" w:ascii="仿宋_GB2312" w:hAnsi="仿宋_GB2312" w:eastAsia="仿宋_GB2312" w:cs="仿宋_GB2312"/>
          <w:color w:val="auto"/>
          <w:sz w:val="28"/>
          <w:szCs w:val="28"/>
          <w:lang w:val="en-US" w:eastAsia="zh-CN"/>
        </w:rPr>
        <w:t>书</w:t>
      </w:r>
      <w:r>
        <w:rPr>
          <w:rFonts w:hint="eastAsia" w:ascii="仿宋_GB2312" w:hAnsi="仿宋_GB2312" w:eastAsia="仿宋_GB2312" w:cs="仿宋_GB2312"/>
          <w:color w:val="auto"/>
          <w:sz w:val="28"/>
          <w:szCs w:val="28"/>
        </w:rPr>
        <w:t>；</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4.办理</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val="en-US" w:eastAsia="zh-CN"/>
        </w:rPr>
        <w:t>和法人</w:t>
      </w:r>
      <w:r>
        <w:rPr>
          <w:rFonts w:hint="eastAsia" w:ascii="仿宋_GB2312" w:hAnsi="仿宋_GB2312" w:eastAsia="仿宋_GB2312" w:cs="仿宋_GB2312"/>
          <w:color w:val="auto"/>
          <w:sz w:val="28"/>
          <w:szCs w:val="28"/>
        </w:rPr>
        <w:t>身份证复印件；</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有委托代理人的，需提交《授权委托书》，注明委托事项，同时提交受委托代理人的身份证复印件；</w:t>
      </w:r>
    </w:p>
    <w:p>
      <w:pPr>
        <w:pStyle w:val="15"/>
        <w:spacing w:line="52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认为与用水计划变更情形的</w:t>
      </w:r>
      <w:r>
        <w:rPr>
          <w:rFonts w:hint="eastAsia" w:ascii="仿宋_GB2312" w:hAnsi="仿宋_GB2312" w:eastAsia="仿宋_GB2312" w:cs="仿宋_GB2312"/>
          <w:color w:val="auto"/>
          <w:sz w:val="28"/>
          <w:szCs w:val="28"/>
        </w:rPr>
        <w:t>相关证据材料，如：因供水企业抄表数据有误导致超计划用水的，提供供水企业出具的证明材料</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w:t>
      </w:r>
    </w:p>
    <w:p>
      <w:pPr>
        <w:pStyle w:val="15"/>
        <w:spacing w:line="520" w:lineRule="exact"/>
        <w:ind w:left="0" w:firstLine="560" w:firstLineChars="20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三、情况说明书应载明的事项</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用户名称、用户编号、住所地和联系人的姓名、职务、联系电话。</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有异议的《超计划用水加价水费征收通知单》的编号。一份说明书仅能对应一份通知单。</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具体异议和所根据的事实、理由。</w:t>
      </w:r>
    </w:p>
    <w:p>
      <w:pPr>
        <w:spacing w:line="520" w:lineRule="exact"/>
        <w:ind w:firstLine="562" w:firstLineChars="200"/>
        <w:rPr>
          <w:rFonts w:hint="eastAsia"/>
          <w:b/>
          <w:bCs/>
          <w:color w:val="auto"/>
        </w:rPr>
      </w:pPr>
      <w:r>
        <w:rPr>
          <w:rFonts w:hint="eastAsia" w:ascii="仿宋_GB2312" w:hAnsi="仿宋_GB2312" w:eastAsia="仿宋_GB2312" w:cs="仿宋_GB2312"/>
          <w:b/>
          <w:bCs/>
          <w:color w:val="auto"/>
          <w:sz w:val="28"/>
          <w:szCs w:val="28"/>
        </w:rPr>
        <w:t>单位用户所提供的上述材料均应加盖单位公章。</w:t>
      </w:r>
    </w:p>
    <w:p>
      <w:pPr>
        <w:adjustRightInd w:val="0"/>
        <w:snapToGrid w:val="0"/>
        <w:spacing w:line="360" w:lineRule="auto"/>
        <w:jc w:val="center"/>
        <w:outlineLvl w:val="1"/>
        <w:rPr>
          <w:rFonts w:hint="eastAsia" w:ascii="方正小标宋_GBK" w:hAnsi="方正小标宋_GBK" w:eastAsia="方正小标宋_GBK" w:cs="方正小标宋_GBK"/>
          <w:b w:val="0"/>
          <w:bCs w:val="0"/>
          <w:color w:val="auto"/>
          <w:sz w:val="40"/>
          <w:szCs w:val="22"/>
        </w:rPr>
      </w:pPr>
      <w:r>
        <w:rPr>
          <w:rFonts w:hint="eastAsia" w:ascii="方正小标宋_GBK" w:hAnsi="方正小标宋_GBK" w:eastAsia="方正小标宋_GBK" w:cs="方正小标宋_GBK"/>
          <w:b w:val="0"/>
          <w:bCs w:val="0"/>
          <w:color w:val="auto"/>
          <w:sz w:val="40"/>
          <w:szCs w:val="22"/>
          <w:lang w:eastAsia="zh-CN"/>
        </w:rPr>
        <w:br w:type="page"/>
      </w:r>
      <w:r>
        <w:rPr>
          <w:rFonts w:hint="eastAsia" w:ascii="方正小标宋_GBK" w:hAnsi="方正小标宋_GBK" w:eastAsia="方正小标宋_GBK" w:cs="方正小标宋_GBK"/>
          <w:b w:val="0"/>
          <w:bCs w:val="0"/>
          <w:color w:val="auto"/>
          <w:sz w:val="40"/>
          <w:szCs w:val="22"/>
          <w:lang w:eastAsia="zh-CN"/>
        </w:rPr>
        <w:t>用水计划变更申请</w:t>
      </w:r>
      <w:r>
        <w:rPr>
          <w:rFonts w:hint="eastAsia" w:ascii="方正小标宋_GBK" w:hAnsi="方正小标宋_GBK" w:eastAsia="方正小标宋_GBK" w:cs="方正小标宋_GBK"/>
          <w:b w:val="0"/>
          <w:bCs w:val="0"/>
          <w:color w:val="auto"/>
          <w:sz w:val="40"/>
          <w:szCs w:val="22"/>
        </w:rPr>
        <w:t>说明书</w:t>
      </w:r>
    </w:p>
    <w:p>
      <w:pPr>
        <w:adjustRightInd w:val="0"/>
        <w:snapToGrid w:val="0"/>
        <w:spacing w:before="157" w:beforeLines="50" w:line="360" w:lineRule="auto"/>
        <w:rPr>
          <w:rFonts w:hint="eastAsia"/>
          <w:color w:val="auto"/>
        </w:rPr>
      </w:pPr>
      <w:r>
        <w:rPr>
          <w:rFonts w:hint="eastAsia"/>
          <w:color w:val="auto"/>
        </w:rPr>
        <w:t xml:space="preserve">用户编号：                                      </w:t>
      </w:r>
      <w:r>
        <w:rPr>
          <w:color w:val="auto"/>
        </w:rPr>
        <w:t xml:space="preserve">   </w:t>
      </w:r>
      <w:r>
        <w:rPr>
          <w:rFonts w:hint="eastAsia"/>
          <w:color w:val="auto"/>
        </w:rPr>
        <w:t>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134"/>
        <w:gridCol w:w="1134"/>
        <w:gridCol w:w="1181"/>
        <w:gridCol w:w="1824"/>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noWrap w:val="0"/>
            <w:vAlign w:val="center"/>
          </w:tcPr>
          <w:p>
            <w:pPr>
              <w:jc w:val="center"/>
              <w:rPr>
                <w:rFonts w:hint="eastAsia"/>
                <w:bCs/>
                <w:color w:val="auto"/>
                <w:sz w:val="22"/>
                <w:szCs w:val="22"/>
              </w:rPr>
            </w:pPr>
            <w:r>
              <w:rPr>
                <w:rFonts w:hint="eastAsia"/>
                <w:bCs/>
                <w:color w:val="auto"/>
                <w:sz w:val="22"/>
                <w:szCs w:val="22"/>
              </w:rPr>
              <w:t>用户名称</w:t>
            </w:r>
          </w:p>
          <w:p>
            <w:pPr>
              <w:jc w:val="center"/>
              <w:rPr>
                <w:rFonts w:hint="eastAsia"/>
                <w:bCs/>
                <w:color w:val="auto"/>
                <w:sz w:val="22"/>
                <w:szCs w:val="22"/>
              </w:rPr>
            </w:pPr>
            <w:r>
              <w:rPr>
                <w:rFonts w:hint="eastAsia"/>
                <w:bCs/>
                <w:color w:val="auto"/>
                <w:sz w:val="22"/>
                <w:szCs w:val="22"/>
              </w:rPr>
              <w:t>（盖章）</w:t>
            </w:r>
          </w:p>
        </w:tc>
        <w:tc>
          <w:tcPr>
            <w:tcW w:w="6899" w:type="dxa"/>
            <w:gridSpan w:val="5"/>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住所地</w:t>
            </w:r>
          </w:p>
        </w:tc>
        <w:tc>
          <w:tcPr>
            <w:tcW w:w="3449" w:type="dxa"/>
            <w:gridSpan w:val="3"/>
            <w:noWrap w:val="0"/>
            <w:vAlign w:val="center"/>
          </w:tcPr>
          <w:p>
            <w:pPr>
              <w:jc w:val="center"/>
              <w:rPr>
                <w:b/>
                <w:bCs/>
                <w:color w:val="auto"/>
                <w:sz w:val="22"/>
                <w:szCs w:val="22"/>
              </w:rPr>
            </w:pPr>
          </w:p>
        </w:tc>
        <w:tc>
          <w:tcPr>
            <w:tcW w:w="1824" w:type="dxa"/>
            <w:noWrap w:val="0"/>
            <w:vAlign w:val="center"/>
          </w:tcPr>
          <w:p>
            <w:pPr>
              <w:jc w:val="center"/>
              <w:rPr>
                <w:rFonts w:hint="eastAsia"/>
                <w:bCs/>
                <w:color w:val="auto"/>
                <w:sz w:val="22"/>
                <w:szCs w:val="22"/>
              </w:rPr>
            </w:pPr>
            <w:r>
              <w:rPr>
                <w:rFonts w:hint="eastAsia"/>
                <w:bCs/>
                <w:color w:val="auto"/>
                <w:sz w:val="22"/>
                <w:szCs w:val="22"/>
              </w:rPr>
              <w:t>邮政编码</w:t>
            </w:r>
          </w:p>
        </w:tc>
        <w:tc>
          <w:tcPr>
            <w:tcW w:w="1626" w:type="dxa"/>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联系人</w:t>
            </w:r>
          </w:p>
        </w:tc>
        <w:tc>
          <w:tcPr>
            <w:tcW w:w="1134" w:type="dxa"/>
            <w:noWrap w:val="0"/>
            <w:vAlign w:val="center"/>
          </w:tcPr>
          <w:p>
            <w:pPr>
              <w:jc w:val="center"/>
              <w:rPr>
                <w:b/>
                <w:bCs/>
                <w:color w:val="auto"/>
                <w:sz w:val="22"/>
                <w:szCs w:val="22"/>
              </w:rPr>
            </w:pPr>
          </w:p>
        </w:tc>
        <w:tc>
          <w:tcPr>
            <w:tcW w:w="1134" w:type="dxa"/>
            <w:noWrap w:val="0"/>
            <w:vAlign w:val="center"/>
          </w:tcPr>
          <w:p>
            <w:pPr>
              <w:jc w:val="center"/>
              <w:rPr>
                <w:color w:val="auto"/>
                <w:sz w:val="22"/>
                <w:szCs w:val="22"/>
              </w:rPr>
            </w:pPr>
            <w:r>
              <w:rPr>
                <w:rFonts w:hint="eastAsia"/>
                <w:color w:val="auto"/>
                <w:sz w:val="22"/>
                <w:szCs w:val="22"/>
              </w:rPr>
              <w:t>职务</w:t>
            </w:r>
          </w:p>
        </w:tc>
        <w:tc>
          <w:tcPr>
            <w:tcW w:w="1181" w:type="dxa"/>
            <w:noWrap w:val="0"/>
            <w:vAlign w:val="center"/>
          </w:tcPr>
          <w:p>
            <w:pPr>
              <w:jc w:val="center"/>
              <w:rPr>
                <w:color w:val="auto"/>
                <w:sz w:val="22"/>
                <w:szCs w:val="22"/>
              </w:rPr>
            </w:pPr>
          </w:p>
        </w:tc>
        <w:tc>
          <w:tcPr>
            <w:tcW w:w="1824" w:type="dxa"/>
            <w:noWrap w:val="0"/>
            <w:vAlign w:val="center"/>
          </w:tcPr>
          <w:p>
            <w:pPr>
              <w:jc w:val="center"/>
              <w:rPr>
                <w:bCs/>
                <w:color w:val="auto"/>
                <w:sz w:val="22"/>
                <w:szCs w:val="22"/>
              </w:rPr>
            </w:pPr>
            <w:r>
              <w:rPr>
                <w:rFonts w:hint="eastAsia"/>
                <w:bCs/>
                <w:color w:val="auto"/>
                <w:sz w:val="22"/>
                <w:szCs w:val="22"/>
              </w:rPr>
              <w:t>联系电话</w:t>
            </w:r>
          </w:p>
        </w:tc>
        <w:tc>
          <w:tcPr>
            <w:tcW w:w="1626" w:type="dxa"/>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025" w:type="dxa"/>
            <w:tcBorders>
              <w:bottom w:val="single" w:color="auto" w:sz="4" w:space="0"/>
            </w:tcBorders>
            <w:noWrap w:val="0"/>
            <w:vAlign w:val="center"/>
          </w:tcPr>
          <w:p>
            <w:pPr>
              <w:adjustRightInd w:val="0"/>
              <w:snapToGrid w:val="0"/>
              <w:spacing w:line="240" w:lineRule="atLeast"/>
              <w:jc w:val="center"/>
              <w:rPr>
                <w:bCs/>
                <w:color w:val="auto"/>
                <w:sz w:val="22"/>
                <w:szCs w:val="22"/>
              </w:rPr>
            </w:pPr>
            <w:r>
              <w:rPr>
                <w:bCs/>
                <w:color w:val="auto"/>
                <w:sz w:val="22"/>
                <w:szCs w:val="22"/>
              </w:rPr>
              <w:t>《超计划用水加价水费征收通知单》</w:t>
            </w:r>
          </w:p>
          <w:p>
            <w:pPr>
              <w:adjustRightInd w:val="0"/>
              <w:snapToGrid w:val="0"/>
              <w:spacing w:line="240" w:lineRule="atLeast"/>
              <w:jc w:val="center"/>
              <w:rPr>
                <w:rFonts w:hint="eastAsia"/>
                <w:bCs/>
                <w:color w:val="auto"/>
                <w:sz w:val="22"/>
                <w:szCs w:val="22"/>
              </w:rPr>
            </w:pPr>
            <w:r>
              <w:rPr>
                <w:rFonts w:hint="eastAsia"/>
                <w:bCs/>
                <w:color w:val="auto"/>
                <w:sz w:val="22"/>
                <w:szCs w:val="22"/>
              </w:rPr>
              <w:t>编号</w:t>
            </w:r>
          </w:p>
        </w:tc>
        <w:tc>
          <w:tcPr>
            <w:tcW w:w="6899" w:type="dxa"/>
            <w:gridSpan w:val="5"/>
            <w:tcBorders>
              <w:bottom w:val="single" w:color="auto" w:sz="4" w:space="0"/>
            </w:tcBorders>
            <w:noWrap w:val="0"/>
            <w:vAlign w:val="top"/>
          </w:tcPr>
          <w:p>
            <w:pP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2025" w:type="dxa"/>
            <w:tcBorders>
              <w:bottom w:val="single" w:color="auto" w:sz="4" w:space="0"/>
            </w:tcBorders>
            <w:noWrap w:val="0"/>
            <w:vAlign w:val="center"/>
          </w:tcPr>
          <w:p>
            <w:pPr>
              <w:adjustRightInd w:val="0"/>
              <w:snapToGrid w:val="0"/>
              <w:spacing w:line="240" w:lineRule="atLeast"/>
              <w:jc w:val="center"/>
              <w:rPr>
                <w:rFonts w:hint="eastAsia" w:eastAsia="宋体"/>
                <w:bCs/>
                <w:color w:val="auto"/>
                <w:sz w:val="20"/>
                <w:szCs w:val="22"/>
                <w:lang w:eastAsia="zh-CN"/>
              </w:rPr>
            </w:pPr>
            <w:r>
              <w:rPr>
                <w:rFonts w:hint="eastAsia"/>
                <w:bCs/>
                <w:color w:val="auto"/>
                <w:sz w:val="22"/>
                <w:szCs w:val="22"/>
              </w:rPr>
              <w:t>具体</w:t>
            </w:r>
            <w:r>
              <w:rPr>
                <w:rFonts w:hint="eastAsia"/>
                <w:bCs/>
                <w:color w:val="auto"/>
                <w:sz w:val="22"/>
                <w:szCs w:val="22"/>
                <w:lang w:eastAsia="zh-CN"/>
              </w:rPr>
              <w:t>申请事项</w:t>
            </w:r>
          </w:p>
        </w:tc>
        <w:tc>
          <w:tcPr>
            <w:tcW w:w="6899" w:type="dxa"/>
            <w:gridSpan w:val="5"/>
            <w:tcBorders>
              <w:bottom w:val="single" w:color="auto" w:sz="4" w:space="0"/>
            </w:tcBorders>
            <w:noWrap w:val="0"/>
            <w:vAlign w:val="top"/>
          </w:tcPr>
          <w:p>
            <w:pPr>
              <w:rPr>
                <w:b/>
                <w:bCs/>
                <w:color w:val="auto"/>
                <w:sz w:val="22"/>
                <w:szCs w:val="22"/>
              </w:rPr>
            </w:pPr>
          </w:p>
          <w:p>
            <w:pPr>
              <w:rPr>
                <w:b/>
                <w:bCs/>
                <w:color w:val="auto"/>
                <w:sz w:val="22"/>
                <w:szCs w:val="22"/>
              </w:rPr>
            </w:pPr>
          </w:p>
          <w:p>
            <w:pPr>
              <w:rPr>
                <w:rFonts w:hint="eastAsia"/>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2025" w:type="dxa"/>
            <w:noWrap w:val="0"/>
            <w:vAlign w:val="center"/>
          </w:tcPr>
          <w:p>
            <w:pPr>
              <w:jc w:val="center"/>
              <w:rPr>
                <w:rFonts w:hint="eastAsia" w:eastAsia="宋体"/>
                <w:bCs/>
                <w:color w:val="auto"/>
                <w:sz w:val="22"/>
                <w:szCs w:val="22"/>
                <w:lang w:eastAsia="zh-CN"/>
              </w:rPr>
            </w:pPr>
            <w:r>
              <w:rPr>
                <w:rFonts w:hint="eastAsia"/>
                <w:bCs/>
                <w:color w:val="auto"/>
                <w:sz w:val="22"/>
                <w:szCs w:val="22"/>
                <w:lang w:eastAsia="zh-CN"/>
              </w:rPr>
              <w:t>变更情形</w:t>
            </w:r>
          </w:p>
        </w:tc>
        <w:tc>
          <w:tcPr>
            <w:tcW w:w="6899" w:type="dxa"/>
            <w:gridSpan w:val="5"/>
            <w:noWrap w:val="0"/>
            <w:vAlign w:val="center"/>
          </w:tcPr>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用水计划指标数据、供水企业抄表数据有误导致超计划用水的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用户有证据证明《用水计划通知单》未及时送达并非因其过错的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当月实际用水量超过月度计划用水量50%以上，但用户能证明其不存在过错</w:t>
            </w:r>
            <w:r>
              <w:rPr>
                <w:rFonts w:hint="eastAsia" w:cs="Times New Roman"/>
                <w:bCs/>
                <w:color w:val="auto"/>
                <w:sz w:val="22"/>
                <w:szCs w:val="22"/>
                <w:lang w:eastAsia="zh-CN"/>
              </w:rPr>
              <w:t>或者</w:t>
            </w:r>
            <w:r>
              <w:rPr>
                <w:rFonts w:hint="eastAsia" w:ascii="Calibri" w:hAnsi="Calibri" w:eastAsia="宋体" w:cs="Times New Roman"/>
                <w:bCs/>
                <w:color w:val="auto"/>
                <w:sz w:val="22"/>
                <w:szCs w:val="22"/>
              </w:rPr>
              <w:t>浪费，用水行为科学、合理</w:t>
            </w:r>
            <w:r>
              <w:rPr>
                <w:rFonts w:hint="eastAsia" w:cs="Times New Roman"/>
                <w:bCs/>
                <w:color w:val="auto"/>
                <w:sz w:val="22"/>
                <w:szCs w:val="22"/>
                <w:lang w:eastAsia="zh-CN"/>
              </w:rPr>
              <w:t>，</w:t>
            </w:r>
            <w:r>
              <w:rPr>
                <w:rFonts w:hint="eastAsia" w:ascii="Calibri" w:hAnsi="Calibri" w:eastAsia="宋体" w:cs="Times New Roman"/>
                <w:bCs/>
                <w:color w:val="auto"/>
                <w:sz w:val="22"/>
                <w:szCs w:val="22"/>
                <w:lang w:eastAsia="zh-CN"/>
              </w:rPr>
              <w:t>通过水平衡测试或落实各项节水措</w:t>
            </w:r>
            <w:r>
              <w:rPr>
                <w:rFonts w:hint="eastAsia" w:ascii="Calibri" w:hAnsi="Calibri" w:eastAsia="宋体" w:cs="Times New Roman"/>
                <w:bCs/>
                <w:color w:val="auto"/>
                <w:sz w:val="22"/>
                <w:szCs w:val="22"/>
              </w:rPr>
              <w:t>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eastAsia="宋体"/>
                <w:bCs/>
                <w:color w:val="auto"/>
                <w:sz w:val="22"/>
                <w:szCs w:val="22"/>
                <w:lang w:eastAsia="zh-CN"/>
              </w:rPr>
            </w:pPr>
            <w:r>
              <w:rPr>
                <w:rFonts w:hint="eastAsia"/>
                <w:bCs/>
                <w:color w:val="auto"/>
                <w:sz w:val="22"/>
                <w:szCs w:val="22"/>
                <w:lang w:eastAsia="zh-CN"/>
              </w:rPr>
              <w:t>□</w:t>
            </w:r>
            <w:r>
              <w:rPr>
                <w:rFonts w:hint="eastAsia" w:ascii="Calibri" w:hAnsi="Calibri" w:eastAsia="宋体" w:cs="Times New Roman"/>
                <w:bCs/>
                <w:color w:val="auto"/>
                <w:sz w:val="22"/>
                <w:szCs w:val="22"/>
              </w:rPr>
              <w:t>因供水管突发爆裂、毁损导致超计划，用户24小时内发现，且发现后3小时内止水并及时修复管道的</w:t>
            </w:r>
            <w:r>
              <w:rPr>
                <w:rFonts w:hint="eastAsia"/>
                <w:bCs/>
                <w:color w:val="auto"/>
                <w:sz w:val="22"/>
                <w:szCs w:val="22"/>
                <w:lang w:eastAsia="zh-CN"/>
              </w:rPr>
              <w:t>；</w:t>
            </w:r>
          </w:p>
          <w:p>
            <w:pPr>
              <w:adjustRightInd w:val="0"/>
              <w:snapToGrid w:val="0"/>
              <w:spacing w:before="0" w:beforeLines="0" w:after="0" w:after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因军事、保密、消防、环境提升、公共突发事件、自然灾害等原因</w:t>
            </w:r>
            <w:r>
              <w:rPr>
                <w:rFonts w:hint="eastAsia" w:ascii="Calibri" w:hAnsi="Calibri" w:eastAsia="宋体" w:cs="Times New Roman"/>
                <w:bCs/>
                <w:color w:val="auto"/>
                <w:sz w:val="22"/>
                <w:szCs w:val="22"/>
                <w:lang w:eastAsia="zh-CN"/>
              </w:rPr>
              <w:t>导致</w:t>
            </w:r>
            <w:r>
              <w:rPr>
                <w:rFonts w:hint="eastAsia" w:ascii="Calibri" w:hAnsi="Calibri" w:eastAsia="宋体" w:cs="Times New Roman"/>
                <w:bCs/>
                <w:color w:val="auto"/>
                <w:sz w:val="22"/>
                <w:szCs w:val="22"/>
              </w:rPr>
              <w:t>超计划</w:t>
            </w:r>
            <w:r>
              <w:rPr>
                <w:rFonts w:hint="eastAsia" w:ascii="Calibri" w:hAnsi="Calibri" w:eastAsia="宋体" w:cs="Times New Roman"/>
                <w:bCs/>
                <w:color w:val="auto"/>
                <w:sz w:val="22"/>
                <w:szCs w:val="22"/>
                <w:lang w:eastAsia="zh-CN"/>
              </w:rPr>
              <w:t>用水</w:t>
            </w:r>
            <w:r>
              <w:rPr>
                <w:rFonts w:hint="eastAsia" w:ascii="Calibri" w:hAnsi="Calibri" w:eastAsia="宋体" w:cs="Times New Roman"/>
                <w:bCs/>
                <w:color w:val="auto"/>
                <w:sz w:val="22"/>
                <w:szCs w:val="22"/>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证据材料目录</w:t>
            </w:r>
          </w:p>
        </w:tc>
        <w:tc>
          <w:tcPr>
            <w:tcW w:w="6899" w:type="dxa"/>
            <w:gridSpan w:val="5"/>
            <w:noWrap w:val="0"/>
            <w:vAlign w:val="top"/>
          </w:tcPr>
          <w:p>
            <w:pPr>
              <w:ind w:left="-107" w:leftChars="-51" w:firstLine="112" w:firstLineChars="51"/>
              <w:rPr>
                <w:rFonts w:hint="eastAsia"/>
                <w:color w:val="auto"/>
                <w:sz w:val="22"/>
                <w:szCs w:val="22"/>
              </w:rPr>
            </w:pPr>
          </w:p>
          <w:p>
            <w:pPr>
              <w:rPr>
                <w:color w:val="auto"/>
                <w:sz w:val="22"/>
                <w:szCs w:val="22"/>
              </w:rPr>
            </w:pPr>
          </w:p>
          <w:p>
            <w:pPr>
              <w:rPr>
                <w:rFonts w:hint="eastAsia"/>
                <w:color w:val="auto"/>
                <w:sz w:val="22"/>
                <w:szCs w:val="22"/>
              </w:rPr>
            </w:pPr>
          </w:p>
          <w:p>
            <w:pPr>
              <w:rPr>
                <w:rFonts w:hint="eastAsia"/>
                <w:color w:val="auto"/>
                <w:sz w:val="22"/>
                <w:szCs w:val="22"/>
              </w:rPr>
            </w:pPr>
            <w:r>
              <w:rPr>
                <w:rFonts w:hint="eastAsia"/>
                <w:color w:val="auto"/>
                <w:sz w:val="22"/>
                <w:szCs w:val="22"/>
              </w:rPr>
              <w:t>（注：在表后附上具体证据材料）</w:t>
            </w:r>
          </w:p>
        </w:tc>
      </w:tr>
    </w:tbl>
    <w:p>
      <w:pPr>
        <w:rPr>
          <w:color w:val="auto"/>
        </w:rPr>
      </w:pPr>
    </w:p>
    <w:tbl>
      <w:tblPr>
        <w:tblStyle w:val="6"/>
        <w:tblW w:w="0" w:type="auto"/>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10"/>
        <w:gridCol w:w="652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8931" w:type="dxa"/>
            <w:gridSpan w:val="2"/>
            <w:tcBorders>
              <w:top w:val="single" w:color="auto" w:sz="4" w:space="0"/>
              <w:left w:val="single" w:color="auto" w:sz="4" w:space="0"/>
              <w:bottom w:val="single" w:color="auto" w:sz="4" w:space="0"/>
              <w:right w:val="single" w:color="auto" w:sz="4" w:space="0"/>
            </w:tcBorders>
            <w:noWrap w:val="0"/>
            <w:vAlign w:val="center"/>
          </w:tcPr>
          <w:p>
            <w:pPr>
              <w:spacing w:before="50" w:after="165" w:afterLines="50" w:line="240" w:lineRule="auto"/>
              <w:jc w:val="center"/>
              <w:rPr>
                <w:rFonts w:ascii="华文中宋" w:hAnsi="华文中宋" w:eastAsia="华文中宋"/>
                <w:b/>
                <w:bCs/>
                <w:color w:val="auto"/>
                <w:sz w:val="22"/>
                <w:szCs w:val="22"/>
              </w:rPr>
            </w:pPr>
            <w:r>
              <w:rPr>
                <w:rFonts w:hint="eastAsia" w:ascii="华文中宋" w:hAnsi="华文中宋" w:eastAsia="华文中宋"/>
                <w:b w:val="0"/>
                <w:bCs w:val="0"/>
                <w:color w:val="auto"/>
                <w:sz w:val="36"/>
                <w:szCs w:val="28"/>
                <w:lang w:val="en-US" w:eastAsia="zh-CN"/>
              </w:rPr>
              <w:t>温馨</w:t>
            </w:r>
            <w:r>
              <w:rPr>
                <w:rFonts w:hint="eastAsia" w:ascii="华文中宋" w:hAnsi="华文中宋" w:eastAsia="华文中宋"/>
                <w:b w:val="0"/>
                <w:bCs w:val="0"/>
                <w:color w:val="auto"/>
                <w:sz w:val="36"/>
                <w:szCs w:val="28"/>
              </w:rPr>
              <w:t>提示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893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2"/>
                <w:szCs w:val="22"/>
                <w:lang w:val="en-US" w:eastAsia="zh-CN"/>
              </w:rPr>
            </w:pPr>
            <w:r>
              <w:rPr>
                <w:rFonts w:hint="eastAsia" w:eastAsia="宋体"/>
                <w:color w:val="auto"/>
                <w:sz w:val="22"/>
                <w:szCs w:val="22"/>
                <w:lang w:val="en-US" w:eastAsia="zh-CN"/>
              </w:rPr>
              <w:t>为方便单位用户，帮助单位用户避免常见的风险，现根据《深圳市节约用水条例》、《深圳市计划用水办法》等规定，将常见的异议受理风险提示如下：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1"/>
                <w:szCs w:val="21"/>
                <w:lang w:val="en-US" w:eastAsia="zh-CN"/>
              </w:rPr>
            </w:pPr>
            <w:r>
              <w:rPr>
                <w:rFonts w:hint="eastAsia" w:eastAsia="宋体"/>
                <w:color w:val="auto"/>
                <w:sz w:val="21"/>
                <w:szCs w:val="21"/>
                <w:lang w:val="en-US" w:eastAsia="zh-CN"/>
              </w:rPr>
              <w:t>1.不符合条件</w:t>
            </w:r>
          </w:p>
        </w:tc>
        <w:tc>
          <w:tcPr>
            <w:tcW w:w="65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1"/>
                <w:szCs w:val="21"/>
                <w:lang w:val="en-US" w:eastAsia="zh-CN"/>
              </w:rPr>
            </w:pPr>
            <w:r>
              <w:rPr>
                <w:rFonts w:hint="eastAsia" w:eastAsia="宋体"/>
                <w:color w:val="auto"/>
                <w:sz w:val="21"/>
                <w:szCs w:val="21"/>
                <w:lang w:val="en-US" w:eastAsia="zh-CN"/>
              </w:rPr>
              <w:t>单位用户异议提出不符合规定条件（如主体不适格）的，不予受理。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2.超过时效</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单位用户对加价收费有异议，可以在接到加价收费通知后60日内按照计划用水管理权限向水务主管部门书面提出，并提供相关证明材料。超过规定期限的不予受理。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3.不提交或者不充分提交证据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单位用户提出变更用水计划的，应提交证据证明。不能提交相应的证据或者提交的证据证明不了有关事实的，可能面临不利的后果。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4.超过时限提交证据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单位用户向水务主管部门提交的证据，应当在</w:t>
            </w:r>
            <w:bookmarkStart w:id="6" w:name="_GoBack"/>
            <w:bookmarkEnd w:id="6"/>
            <w:r>
              <w:rPr>
                <w:rFonts w:hint="eastAsia" w:ascii="Calibri" w:hAnsi="Calibri" w:eastAsia="宋体" w:cs="Times New Roman"/>
                <w:color w:val="auto"/>
                <w:kern w:val="2"/>
                <w:sz w:val="21"/>
                <w:szCs w:val="21"/>
                <w:lang w:val="en-US" w:eastAsia="zh-CN" w:bidi="ar-SA"/>
              </w:rPr>
              <w:t>接到加价收费通知后60日内完成。超过上述期限提交的，视为放弃举证的权利。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5.不提交原始证据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单位用户向水务主管部门提交证据，应当提交原件或者原物，特殊情况下也可以提交经水务主管部门核对无异的复制件或者复制品。提交的证据不符合上述条件的，可能影响证据的证明力，甚至可能不被采信。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left="0" w:firstLine="0" w:firstLineChars="0"/>
              <w:jc w:val="left"/>
              <w:rPr>
                <w:rFonts w:ascii="宋体" w:hAnsi="宋体"/>
                <w:color w:val="auto"/>
                <w:sz w:val="22"/>
                <w:szCs w:val="22"/>
              </w:rPr>
            </w:pPr>
            <w:r>
              <w:rPr>
                <w:rFonts w:hint="eastAsia" w:ascii="Calibri" w:hAnsi="Calibri" w:eastAsia="宋体" w:cs="Times New Roman"/>
                <w:color w:val="auto"/>
                <w:kern w:val="2"/>
                <w:sz w:val="21"/>
                <w:szCs w:val="21"/>
                <w:lang w:val="en-US" w:eastAsia="zh-CN" w:bidi="ar-SA"/>
              </w:rPr>
              <w:t>6.送达邮箱不准确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水务主管部门按照单位用户提交的邮箱发送处理文书，因单位用户提交的邮箱不准确，致使水务主管部门无法送达；或者邮件发送成功后，收件人未及时查收，视为已经送达。</w:t>
            </w:r>
          </w:p>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如需</w:t>
            </w:r>
            <w:r>
              <w:rPr>
                <w:rFonts w:hint="eastAsia" w:cs="Times New Roman"/>
                <w:color w:val="FF0000"/>
                <w:kern w:val="2"/>
                <w:sz w:val="21"/>
                <w:szCs w:val="21"/>
                <w:lang w:val="en-US" w:eastAsia="zh-CN" w:bidi="ar-SA"/>
              </w:rPr>
              <w:t>变更联系人、电话、</w:t>
            </w:r>
            <w:r>
              <w:rPr>
                <w:rFonts w:hint="eastAsia" w:ascii="Calibri" w:hAnsi="Calibri" w:eastAsia="宋体" w:cs="Times New Roman"/>
                <w:color w:val="FF0000"/>
                <w:kern w:val="2"/>
                <w:sz w:val="21"/>
                <w:szCs w:val="21"/>
                <w:lang w:val="en-US" w:eastAsia="zh-CN" w:bidi="ar-SA"/>
              </w:rPr>
              <w:t>邮箱</w:t>
            </w:r>
            <w:r>
              <w:rPr>
                <w:rFonts w:hint="eastAsia" w:cs="Times New Roman"/>
                <w:color w:val="auto"/>
                <w:kern w:val="2"/>
                <w:sz w:val="21"/>
                <w:szCs w:val="21"/>
                <w:lang w:val="en-US" w:eastAsia="zh-CN" w:bidi="ar-SA"/>
              </w:rPr>
              <w:t>等信息</w:t>
            </w:r>
            <w:r>
              <w:rPr>
                <w:rFonts w:hint="eastAsia" w:ascii="Calibri" w:hAnsi="Calibri"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请通过</w:t>
            </w:r>
            <w:r>
              <w:rPr>
                <w:rFonts w:hint="eastAsia" w:ascii="Calibri" w:hAnsi="Calibri" w:eastAsia="宋体" w:cs="Times New Roman"/>
                <w:color w:val="auto"/>
                <w:kern w:val="2"/>
                <w:sz w:val="21"/>
                <w:szCs w:val="21"/>
                <w:lang w:val="en-US" w:eastAsia="zh-CN" w:bidi="ar-SA"/>
              </w:rPr>
              <w:t>“深圳水务集团”网上营业厅或微信小程序“深水情”</w:t>
            </w:r>
            <w:r>
              <w:rPr>
                <w:rFonts w:hint="eastAsia" w:cs="Times New Roman"/>
                <w:color w:val="auto"/>
                <w:kern w:val="2"/>
                <w:sz w:val="21"/>
                <w:szCs w:val="21"/>
                <w:lang w:val="en-US" w:eastAsia="zh-CN" w:bidi="ar-SA"/>
              </w:rPr>
              <w:t>或水务集团人工服务窗口办理，</w:t>
            </w:r>
            <w:r>
              <w:rPr>
                <w:rFonts w:hint="eastAsia" w:ascii="Calibri" w:hAnsi="Calibri" w:eastAsia="宋体" w:cs="Times New Roman"/>
                <w:color w:val="auto"/>
                <w:kern w:val="2"/>
                <w:sz w:val="21"/>
                <w:szCs w:val="21"/>
                <w:lang w:val="en-US" w:eastAsia="zh-CN" w:bidi="ar-SA"/>
              </w:rPr>
              <w:t>咨询电话：深圳水务集团82137777</w:t>
            </w:r>
            <w:r>
              <w:rPr>
                <w:rFonts w:hint="eastAsia"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left="0" w:firstLine="0" w:firstLineChars="0"/>
              <w:jc w:val="left"/>
              <w:rPr>
                <w:rFonts w:hint="default" w:ascii="Calibri" w:hAnsi="Calibri" w:eastAsia="宋体" w:cs="Times New Roman"/>
                <w:color w:val="auto"/>
                <w:kern w:val="2"/>
                <w:sz w:val="21"/>
                <w:szCs w:val="21"/>
                <w:lang w:val="en" w:eastAsia="zh-CN" w:bidi="ar-SA"/>
              </w:rPr>
            </w:pPr>
            <w:r>
              <w:rPr>
                <w:rFonts w:hint="default" w:cs="Times New Roman"/>
                <w:color w:val="auto"/>
                <w:kern w:val="2"/>
                <w:sz w:val="21"/>
                <w:szCs w:val="21"/>
                <w:lang w:val="en" w:eastAsia="zh-CN" w:bidi="ar-SA"/>
              </w:rPr>
              <w:t>7</w:t>
            </w:r>
            <w:r>
              <w:rPr>
                <w:rFonts w:hint="eastAsia" w:ascii="Calibri" w:hAnsi="Calibri"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超计划用水查询途径</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可通过“深圳水务集团”网上营业厅或微信小程序“深水情”查询超计划情况。</w:t>
            </w:r>
          </w:p>
        </w:tc>
      </w:tr>
    </w:tbl>
    <w:p>
      <w:pPr>
        <w:rPr>
          <w:rFonts w:hint="eastAsia"/>
          <w:color w:val="auto"/>
        </w:rPr>
      </w:pPr>
    </w:p>
    <w:p>
      <w:pPr>
        <w:adjustRightInd w:val="0"/>
        <w:snapToGrid w:val="0"/>
        <w:spacing w:line="240" w:lineRule="atLeast"/>
        <w:jc w:val="both"/>
        <w:rPr>
          <w:rFonts w:hint="default" w:ascii="仿宋_GB2312" w:hAnsi="仿宋_GB2312" w:eastAsia="宋体" w:cs="仿宋_GB2312"/>
          <w:color w:val="FF0000"/>
          <w:sz w:val="32"/>
          <w:szCs w:val="32"/>
          <w:lang w:val="en-US" w:eastAsia="zh-CN"/>
        </w:rPr>
      </w:pPr>
      <w:r>
        <w:rPr>
          <w:bCs/>
          <w:color w:val="FF0000"/>
          <w:sz w:val="22"/>
          <w:szCs w:val="22"/>
        </w:rPr>
        <w:t>《超计划用水加价水费征收通知单》</w:t>
      </w:r>
      <w:r>
        <w:rPr>
          <w:rFonts w:hint="eastAsia"/>
          <w:bCs/>
          <w:color w:val="FF0000"/>
          <w:sz w:val="22"/>
          <w:szCs w:val="22"/>
        </w:rPr>
        <w:t>编号</w:t>
      </w:r>
      <w:r>
        <w:rPr>
          <w:rFonts w:hint="eastAsia"/>
          <w:bCs/>
          <w:color w:val="FF0000"/>
          <w:sz w:val="22"/>
          <w:szCs w:val="22"/>
          <w:lang w:eastAsia="zh-CN"/>
        </w:rPr>
        <w:t>为“十位用户编号</w:t>
      </w:r>
      <w:r>
        <w:rPr>
          <w:rFonts w:hint="eastAsia"/>
          <w:bCs/>
          <w:color w:val="FF0000"/>
          <w:sz w:val="22"/>
          <w:szCs w:val="22"/>
          <w:lang w:val="en-US" w:eastAsia="zh-CN"/>
        </w:rPr>
        <w:t>+抄表年月</w:t>
      </w:r>
      <w:r>
        <w:rPr>
          <w:rFonts w:hint="eastAsia"/>
          <w:bCs/>
          <w:color w:val="FF0000"/>
          <w:sz w:val="22"/>
          <w:szCs w:val="22"/>
          <w:lang w:eastAsia="zh-CN"/>
        </w:rPr>
        <w:t>”，例如用水月份为</w:t>
      </w:r>
      <w:r>
        <w:rPr>
          <w:rFonts w:hint="eastAsia"/>
          <w:bCs/>
          <w:color w:val="FF0000"/>
          <w:sz w:val="22"/>
          <w:szCs w:val="22"/>
          <w:lang w:val="en-US" w:eastAsia="zh-CN"/>
        </w:rPr>
        <w:t>2025年10月，对应抄表年月为2025年11月，通知单编号应为“11********202511”</w:t>
      </w:r>
      <w:r>
        <w:rPr>
          <w:rFonts w:hint="eastAsia"/>
          <w:bCs/>
          <w:color w:val="FF0000"/>
          <w:sz w:val="22"/>
          <w:szCs w:val="22"/>
          <w:lang w:eastAsia="zh-CN"/>
        </w:rPr>
        <w:t>。</w:t>
      </w:r>
    </w:p>
    <w:p>
      <w:pPr>
        <w:spacing w:line="560" w:lineRule="exact"/>
        <w:rPr>
          <w:rFonts w:hint="default" w:ascii="仿宋_GB2312" w:hAnsi="仿宋_GB2312" w:eastAsia="仿宋_GB2312" w:cs="仿宋_GB2312"/>
          <w:color w:val="auto"/>
          <w:sz w:val="32"/>
          <w:szCs w:val="32"/>
          <w:lang w:val="en-US" w:eastAsia="zh-CN"/>
        </w:rPr>
      </w:pPr>
    </w:p>
    <w:bookmarkEnd w:id="0"/>
    <w:p>
      <w:pPr>
        <w:spacing w:line="20" w:lineRule="exact"/>
        <w:rPr>
          <w:rFonts w:hint="default"/>
          <w:color w:val="auto"/>
          <w:lang w:val="en-US" w:eastAsia="zh-CN"/>
        </w:rPr>
      </w:pPr>
    </w:p>
    <w:sectPr>
      <w:headerReference r:id="rId3" w:type="default"/>
      <w:footerReference r:id="rId5" w:type="default"/>
      <w:headerReference r:id="rId4" w:type="even"/>
      <w:pgSz w:w="11906" w:h="16838"/>
      <w:pgMar w:top="2098" w:right="1474" w:bottom="1984" w:left="1588" w:header="0"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bookmarkStart w:id="1" w:name="_Hlk82966"/>
                          <w:bookmarkStart w:id="2" w:name="OLE_LINK6"/>
                          <w:bookmarkStart w:id="3" w:name="OLE_LINK5"/>
                          <w:bookmarkStart w:id="4" w:name="OLE_LINK1"/>
                          <w:bookmarkStart w:id="5" w:name="OLE_LINK20"/>
                          <w:r>
                            <w:rPr>
                              <w:rStyle w:val="10"/>
                              <w:rFonts w:hint="eastAsia" w:ascii="宋体" w:hAnsi="宋体"/>
                              <w:color w:val="FFFFFF"/>
                              <w:sz w:val="28"/>
                              <w:szCs w:val="28"/>
                            </w:rPr>
                            <w:t>—</w:t>
                          </w:r>
                          <w:bookmarkEnd w:id="1"/>
                          <w:bookmarkEnd w:id="2"/>
                          <w:bookmarkEnd w:id="3"/>
                          <w:bookmarkEnd w:id="4"/>
                          <w:bookmarkEnd w:id="5"/>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pPr>
                      <w:pStyle w:val="4"/>
                    </w:pPr>
                    <w:bookmarkStart w:id="1" w:name="_Hlk82966"/>
                    <w:bookmarkStart w:id="2" w:name="OLE_LINK6"/>
                    <w:bookmarkStart w:id="3" w:name="OLE_LINK5"/>
                    <w:bookmarkStart w:id="4" w:name="OLE_LINK1"/>
                    <w:bookmarkStart w:id="5" w:name="OLE_LINK20"/>
                    <w:r>
                      <w:rPr>
                        <w:rStyle w:val="10"/>
                        <w:rFonts w:hint="eastAsia" w:ascii="宋体" w:hAnsi="宋体"/>
                        <w:color w:val="FFFFFF"/>
                        <w:sz w:val="28"/>
                        <w:szCs w:val="28"/>
                      </w:rPr>
                      <w:t>—</w:t>
                    </w:r>
                    <w:bookmarkEnd w:id="1"/>
                    <w:bookmarkEnd w:id="2"/>
                    <w:bookmarkEnd w:id="3"/>
                    <w:bookmarkEnd w:id="4"/>
                    <w:bookmarkEnd w:id="5"/>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OTczMjU3ODNlNTA1ZDVlMWFjYjBhZjdkOGJkMDQifQ=="/>
  </w:docVars>
  <w:rsids>
    <w:rsidRoot w:val="00172A27"/>
    <w:rsid w:val="001039C2"/>
    <w:rsid w:val="001E0CFB"/>
    <w:rsid w:val="002406D8"/>
    <w:rsid w:val="00356C8D"/>
    <w:rsid w:val="003A1D22"/>
    <w:rsid w:val="0040051B"/>
    <w:rsid w:val="0040360E"/>
    <w:rsid w:val="00461F01"/>
    <w:rsid w:val="00470D6E"/>
    <w:rsid w:val="00474BB3"/>
    <w:rsid w:val="00496D48"/>
    <w:rsid w:val="004D43B5"/>
    <w:rsid w:val="00657F6C"/>
    <w:rsid w:val="00694B2E"/>
    <w:rsid w:val="006E5F44"/>
    <w:rsid w:val="0071588F"/>
    <w:rsid w:val="007973E1"/>
    <w:rsid w:val="008752C4"/>
    <w:rsid w:val="008D6D19"/>
    <w:rsid w:val="00A62B0E"/>
    <w:rsid w:val="00B952E7"/>
    <w:rsid w:val="00C40154"/>
    <w:rsid w:val="00C53741"/>
    <w:rsid w:val="00D17C90"/>
    <w:rsid w:val="00E3302F"/>
    <w:rsid w:val="00EB56D7"/>
    <w:rsid w:val="00ED3681"/>
    <w:rsid w:val="00FE4084"/>
    <w:rsid w:val="01894E80"/>
    <w:rsid w:val="034E6F20"/>
    <w:rsid w:val="044B20D1"/>
    <w:rsid w:val="04911314"/>
    <w:rsid w:val="04FA5AB7"/>
    <w:rsid w:val="073E15CE"/>
    <w:rsid w:val="09125FAB"/>
    <w:rsid w:val="0A281365"/>
    <w:rsid w:val="0A433925"/>
    <w:rsid w:val="0BDB6094"/>
    <w:rsid w:val="0C23041E"/>
    <w:rsid w:val="1098643B"/>
    <w:rsid w:val="13075C6D"/>
    <w:rsid w:val="14F23671"/>
    <w:rsid w:val="17946424"/>
    <w:rsid w:val="17D73833"/>
    <w:rsid w:val="1BA3517F"/>
    <w:rsid w:val="1BFF5922"/>
    <w:rsid w:val="1C0E78F4"/>
    <w:rsid w:val="1CD14D47"/>
    <w:rsid w:val="1CDC185A"/>
    <w:rsid w:val="1CF2C2F1"/>
    <w:rsid w:val="1D5026DC"/>
    <w:rsid w:val="1F8E561B"/>
    <w:rsid w:val="21B42C41"/>
    <w:rsid w:val="22B956AD"/>
    <w:rsid w:val="23223004"/>
    <w:rsid w:val="232A2335"/>
    <w:rsid w:val="270E727F"/>
    <w:rsid w:val="2733411B"/>
    <w:rsid w:val="2762121E"/>
    <w:rsid w:val="27E66760"/>
    <w:rsid w:val="287442AD"/>
    <w:rsid w:val="29170319"/>
    <w:rsid w:val="29175233"/>
    <w:rsid w:val="2BEC69DC"/>
    <w:rsid w:val="2C2A77C7"/>
    <w:rsid w:val="2D5F5037"/>
    <w:rsid w:val="2D977072"/>
    <w:rsid w:val="2DA70854"/>
    <w:rsid w:val="2DCA1A64"/>
    <w:rsid w:val="2F323430"/>
    <w:rsid w:val="2F5D03F6"/>
    <w:rsid w:val="31D72A10"/>
    <w:rsid w:val="320337AC"/>
    <w:rsid w:val="32E40BAC"/>
    <w:rsid w:val="33087BE3"/>
    <w:rsid w:val="334F3409"/>
    <w:rsid w:val="34254345"/>
    <w:rsid w:val="34641135"/>
    <w:rsid w:val="347F270F"/>
    <w:rsid w:val="35587CBE"/>
    <w:rsid w:val="38C51DFB"/>
    <w:rsid w:val="392A214C"/>
    <w:rsid w:val="3AFC5E22"/>
    <w:rsid w:val="3BBE7B0B"/>
    <w:rsid w:val="3C9506EA"/>
    <w:rsid w:val="3D2A6A09"/>
    <w:rsid w:val="3EAB01F4"/>
    <w:rsid w:val="3EFAD0E8"/>
    <w:rsid w:val="3F3A34DF"/>
    <w:rsid w:val="414667C2"/>
    <w:rsid w:val="43D94187"/>
    <w:rsid w:val="441B1265"/>
    <w:rsid w:val="44BF6072"/>
    <w:rsid w:val="44F6489E"/>
    <w:rsid w:val="469F1915"/>
    <w:rsid w:val="48B91A8A"/>
    <w:rsid w:val="49962EFC"/>
    <w:rsid w:val="49E97147"/>
    <w:rsid w:val="4B865063"/>
    <w:rsid w:val="4C8210B4"/>
    <w:rsid w:val="4D2D4B8C"/>
    <w:rsid w:val="4E9A1001"/>
    <w:rsid w:val="4F0CAA8E"/>
    <w:rsid w:val="507B048D"/>
    <w:rsid w:val="50832B95"/>
    <w:rsid w:val="52C25578"/>
    <w:rsid w:val="53B87844"/>
    <w:rsid w:val="55A469D3"/>
    <w:rsid w:val="562654E2"/>
    <w:rsid w:val="58367800"/>
    <w:rsid w:val="590D0FC9"/>
    <w:rsid w:val="597F7290"/>
    <w:rsid w:val="59A3497B"/>
    <w:rsid w:val="5C965A8D"/>
    <w:rsid w:val="5D5DD7C5"/>
    <w:rsid w:val="5FD7A8E1"/>
    <w:rsid w:val="60E26784"/>
    <w:rsid w:val="6136374C"/>
    <w:rsid w:val="613D589C"/>
    <w:rsid w:val="61FB3E3B"/>
    <w:rsid w:val="6201114C"/>
    <w:rsid w:val="62B92EA0"/>
    <w:rsid w:val="6349021A"/>
    <w:rsid w:val="658F3034"/>
    <w:rsid w:val="66F6194B"/>
    <w:rsid w:val="675A7EE6"/>
    <w:rsid w:val="679701E1"/>
    <w:rsid w:val="68671AC0"/>
    <w:rsid w:val="6AF52C26"/>
    <w:rsid w:val="6BA467D3"/>
    <w:rsid w:val="6BEE13C9"/>
    <w:rsid w:val="6D9E034C"/>
    <w:rsid w:val="6DEB6C9C"/>
    <w:rsid w:val="6E6204F7"/>
    <w:rsid w:val="6FFF95BD"/>
    <w:rsid w:val="71790296"/>
    <w:rsid w:val="717E5784"/>
    <w:rsid w:val="73307A0F"/>
    <w:rsid w:val="7347607A"/>
    <w:rsid w:val="737078D0"/>
    <w:rsid w:val="74561667"/>
    <w:rsid w:val="752817B3"/>
    <w:rsid w:val="75882137"/>
    <w:rsid w:val="76907030"/>
    <w:rsid w:val="77DE7C08"/>
    <w:rsid w:val="77FD6F53"/>
    <w:rsid w:val="78A14583"/>
    <w:rsid w:val="78AB51E7"/>
    <w:rsid w:val="791946F0"/>
    <w:rsid w:val="7A6048BC"/>
    <w:rsid w:val="7B9450BF"/>
    <w:rsid w:val="7BE21EA8"/>
    <w:rsid w:val="7DEF16BD"/>
    <w:rsid w:val="7DEF2E92"/>
    <w:rsid w:val="7EBF5739"/>
    <w:rsid w:val="7EC55BC5"/>
    <w:rsid w:val="7ED7D3CC"/>
    <w:rsid w:val="7EFFBBE9"/>
    <w:rsid w:val="7F5F2867"/>
    <w:rsid w:val="7FBF8860"/>
    <w:rsid w:val="7FCD16C9"/>
    <w:rsid w:val="7FDF2D02"/>
    <w:rsid w:val="7FDFFA8C"/>
    <w:rsid w:val="7FE73A51"/>
    <w:rsid w:val="7FFF1FF6"/>
    <w:rsid w:val="9BFFC392"/>
    <w:rsid w:val="B7FB920B"/>
    <w:rsid w:val="BF7C01E8"/>
    <w:rsid w:val="DEF86174"/>
    <w:rsid w:val="DFEEABA3"/>
    <w:rsid w:val="E5FF4246"/>
    <w:rsid w:val="EFEB5538"/>
    <w:rsid w:val="F5FFB7B7"/>
    <w:rsid w:val="F72A4B6E"/>
    <w:rsid w:val="F73FC6CB"/>
    <w:rsid w:val="FBEFDA26"/>
    <w:rsid w:val="FEBF29BD"/>
    <w:rsid w:val="FF4DC2C3"/>
    <w:rsid w:val="FFB711A3"/>
    <w:rsid w:val="FFD75BD7"/>
    <w:rsid w:val="FFFED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uiPriority w:val="0"/>
  </w:style>
  <w:style w:type="character" w:styleId="11">
    <w:name w:val="annotation reference"/>
    <w:basedOn w:val="8"/>
    <w:qFormat/>
    <w:uiPriority w:val="0"/>
    <w:rPr>
      <w:sz w:val="21"/>
      <w:szCs w:val="21"/>
    </w:rPr>
  </w:style>
  <w:style w:type="character" w:customStyle="1" w:styleId="12">
    <w:name w:val="批注框文本 Char"/>
    <w:basedOn w:val="8"/>
    <w:link w:val="3"/>
    <w:qFormat/>
    <w:uiPriority w:val="0"/>
    <w:rPr>
      <w:rFonts w:ascii="Calibri" w:hAnsi="Calibri" w:eastAsia="宋体" w:cs="Times New Roman"/>
      <w:kern w:val="2"/>
      <w:sz w:val="18"/>
      <w:szCs w:val="18"/>
    </w:rPr>
  </w:style>
  <w:style w:type="character" w:customStyle="1" w:styleId="13">
    <w:name w:val="页脚 Char"/>
    <w:basedOn w:val="8"/>
    <w:link w:val="4"/>
    <w:qFormat/>
    <w:uiPriority w:val="0"/>
    <w:rPr>
      <w:rFonts w:ascii="Calibri" w:hAnsi="Calibri" w:eastAsia="宋体" w:cs="Times New Roman"/>
      <w:kern w:val="2"/>
      <w:sz w:val="18"/>
      <w:szCs w:val="18"/>
    </w:rPr>
  </w:style>
  <w:style w:type="character" w:customStyle="1" w:styleId="14">
    <w:name w:val="页眉 Char"/>
    <w:basedOn w:val="8"/>
    <w:link w:val="5"/>
    <w:qFormat/>
    <w:uiPriority w:val="0"/>
    <w:rPr>
      <w:rFonts w:ascii="Calibri" w:hAnsi="Calibri" w:eastAsia="宋体" w:cs="Times New Roman"/>
      <w:kern w:val="2"/>
      <w:sz w:val="18"/>
      <w:szCs w:val="18"/>
    </w:rPr>
  </w:style>
  <w:style w:type="paragraph" w:customStyle="1" w:styleId="15">
    <w:name w:val="彩色列表 - 着色 1"/>
    <w:basedOn w:val="1"/>
    <w:qFormat/>
    <w:uiPriority w:val="99"/>
    <w:pPr>
      <w:widowControl w:val="0"/>
      <w:ind w:firstLine="420" w:firstLineChars="200"/>
      <w:jc w:val="both"/>
    </w:pPr>
    <w:rPr>
      <w:rFonts w:ascii="Calibri" w:hAnsi="Calibri" w:eastAsia="宋体"/>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1384</Words>
  <Characters>1435</Characters>
  <Lines>14</Lines>
  <Paragraphs>4</Paragraphs>
  <TotalTime>2</TotalTime>
  <ScaleCrop>false</ScaleCrop>
  <LinksUpToDate>false</LinksUpToDate>
  <CharactersWithSpaces>1477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2020-08-03T09:34:00Z</dcterms:created>
  <dc:creator>梁笑珠</dc:creator>
  <cp:lastModifiedBy>Administrator</cp:lastModifiedBy>
  <cp:lastPrinted>2024-02-28T07:10:00Z</cp:lastPrinted>
  <dcterms:modified xsi:type="dcterms:W3CDTF">2026-03-06T08:20:42Z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34D404AD17E08947D87B78690C376684</vt:lpwstr>
  </property>
</Properties>
</file>