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Autospacing="0" w:line="579" w:lineRule="exact"/>
        <w:ind w:right="0" w:rightChars="0" w:firstLine="0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1：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Autospacing="0" w:line="579" w:lineRule="exact"/>
        <w:ind w:right="0" w:rightChars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Autospacing="0" w:line="579" w:lineRule="exact"/>
        <w:ind w:right="0" w:rightChars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关于《福田区退役军人高新技术创新创业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Autospacing="0" w:line="579" w:lineRule="exact"/>
        <w:ind w:right="0" w:rightChars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示范基地企业入驻管理办法（修订版）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Autospacing="0" w:line="579" w:lineRule="exact"/>
        <w:ind w:right="0" w:rightChars="0" w:firstLine="0"/>
        <w:jc w:val="center"/>
        <w:textAlignment w:val="auto"/>
        <w:rPr>
          <w:rFonts w:hint="eastAsia" w:ascii="仿宋_GB2312" w:eastAsia="仿宋_GB2312"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（征求意见稿）》的听证简要指引</w:t>
      </w:r>
    </w:p>
    <w:p>
      <w:pPr>
        <w:pStyle w:val="6"/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/>
        <w:snapToGrid/>
        <w:spacing w:beforeAutospacing="0" w:line="579" w:lineRule="exact"/>
        <w:ind w:left="0" w:leftChars="0" w:right="0" w:rightChars="0"/>
        <w:jc w:val="both"/>
        <w:textAlignment w:val="auto"/>
        <w:rPr>
          <w:rFonts w:hint="eastAsia" w:ascii="仿宋_GB2312"/>
          <w:color w:val="000000"/>
          <w:sz w:val="32"/>
          <w:szCs w:val="32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/>
        <w:snapToGrid/>
        <w:spacing w:beforeAutospacing="0" w:line="579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为</w:t>
      </w:r>
      <w:r>
        <w:rPr>
          <w:rFonts w:hint="eastAsia" w:ascii="仿宋_GB2312" w:hAnsi="仿宋_GB2312" w:cs="仿宋_GB2312"/>
          <w:b w:val="0"/>
          <w:bCs/>
          <w:sz w:val="32"/>
          <w:szCs w:val="32"/>
          <w:lang w:eastAsia="zh-CN"/>
        </w:rPr>
        <w:t>进一步优化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福田区退役军人高新技术创新创业示范基地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入驻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企业的服务和管理工作，促进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入驻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企业的健康发展，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结合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福田区退役军人高新技术创新创业示范基地</w:t>
      </w:r>
      <w:r>
        <w:rPr>
          <w:rFonts w:hint="eastAsia" w:ascii="仿宋_GB2312" w:hAnsi="仿宋_GB2312" w:cs="仿宋_GB2312"/>
          <w:b w:val="0"/>
          <w:bCs/>
          <w:sz w:val="32"/>
          <w:szCs w:val="32"/>
          <w:lang w:eastAsia="zh-CN"/>
        </w:rPr>
        <w:t>（下称“示范基地”）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的实际</w:t>
      </w:r>
      <w:r>
        <w:rPr>
          <w:rFonts w:hint="eastAsia" w:ascii="仿宋_GB2312" w:hAnsi="仿宋_GB2312" w:cs="仿宋_GB2312"/>
          <w:b w:val="0"/>
          <w:bCs/>
          <w:sz w:val="32"/>
          <w:szCs w:val="32"/>
          <w:lang w:eastAsia="zh-CN"/>
        </w:rPr>
        <w:t>运营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情况，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福田区退役军人事务局起草了《福田区退役军人高新技术创新创业示范基地管理办法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lang w:eastAsia="zh-CN"/>
        </w:rPr>
        <w:t>修订版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）》（下称《管理办法（</w:t>
      </w: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lang w:eastAsia="zh-CN"/>
        </w:rPr>
        <w:t>修订版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）》）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现将相关事项说明如下：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left="0" w:leftChars="0" w:right="0" w:rightChars="0"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一、起草</w:t>
      </w:r>
      <w:r>
        <w:rPr>
          <w:rFonts w:hint="eastAsia" w:ascii="黑体" w:hAnsi="黑体" w:eastAsia="黑体"/>
          <w:sz w:val="32"/>
          <w:szCs w:val="32"/>
        </w:rPr>
        <w:t>背景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left="0" w:leftChars="0" w:right="0" w:rightChars="0" w:firstLine="640" w:firstLineChars="200"/>
        <w:jc w:val="both"/>
        <w:textAlignment w:val="auto"/>
        <w:rPr>
          <w:rFonts w:hint="eastAsia"/>
          <w:color w:val="auto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为深入贯彻落实国家、省、市关于退役军人工作的决策部署，</w:t>
      </w:r>
      <w:r>
        <w:rPr>
          <w:rStyle w:val="12"/>
          <w:rFonts w:hint="eastAsia" w:ascii="仿宋_GB2312" w:eastAsia="仿宋_GB2312"/>
          <w:b w:val="0"/>
          <w:bCs w:val="0"/>
          <w:color w:val="auto"/>
          <w:spacing w:val="8"/>
          <w:sz w:val="32"/>
          <w:szCs w:val="32"/>
        </w:rPr>
        <w:t>引领和带动退役军人就业创业</w:t>
      </w:r>
      <w:r>
        <w:rPr>
          <w:rStyle w:val="12"/>
          <w:rFonts w:hint="eastAsia" w:ascii="仿宋_GB2312"/>
          <w:b w:val="0"/>
          <w:bCs w:val="0"/>
          <w:color w:val="auto"/>
          <w:spacing w:val="8"/>
          <w:sz w:val="32"/>
          <w:szCs w:val="32"/>
          <w:lang w:eastAsia="zh-CN"/>
        </w:rPr>
        <w:t>，</w:t>
      </w:r>
      <w:r>
        <w:rPr>
          <w:rStyle w:val="12"/>
          <w:rFonts w:hint="eastAsia" w:ascii="仿宋_GB2312" w:eastAsia="仿宋_GB2312"/>
          <w:b w:val="0"/>
          <w:bCs w:val="0"/>
          <w:color w:val="auto"/>
          <w:spacing w:val="8"/>
          <w:sz w:val="32"/>
          <w:szCs w:val="32"/>
          <w:lang w:eastAsia="zh-CN"/>
        </w:rPr>
        <w:t>抢抓</w:t>
      </w:r>
      <w:r>
        <w:rPr>
          <w:rStyle w:val="12"/>
          <w:rFonts w:hint="eastAsia" w:ascii="仿宋_GB2312"/>
          <w:b w:val="0"/>
          <w:bCs w:val="0"/>
          <w:color w:val="auto"/>
          <w:spacing w:val="8"/>
          <w:sz w:val="32"/>
          <w:szCs w:val="32"/>
          <w:lang w:eastAsia="zh-CN"/>
        </w:rPr>
        <w:t>高科技</w:t>
      </w:r>
      <w:r>
        <w:rPr>
          <w:rStyle w:val="12"/>
          <w:rFonts w:hint="eastAsia" w:ascii="仿宋_GB2312" w:eastAsia="仿宋_GB2312"/>
          <w:b w:val="0"/>
          <w:bCs w:val="0"/>
          <w:color w:val="auto"/>
          <w:spacing w:val="8"/>
          <w:sz w:val="32"/>
          <w:szCs w:val="32"/>
          <w:lang w:eastAsia="zh-CN"/>
        </w:rPr>
        <w:t>产业的发展机遇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福田区高起点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谋划、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率先建设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vertAlign w:val="baseline"/>
          <w:lang w:val="en-US" w:eastAsia="zh-CN"/>
        </w:rPr>
        <w:t>全国首个由区政府主办的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退役军人高新技术创新创业示范基地。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2021年，为规范示范基地入驻企业标准，促进企业健康发展，提升示范基地运营管理规范化与效能，制定了《管理办法》。经过三年多的建设与运营实践，入驻企业成长需求及内外部环境均发生新的变化。为此，有必要结合基地现实发展需求，对入驻标准、入驻企业评估考核及毕业标准等内容进行优化完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left="0" w:leftChars="0" w:right="0" w:rightChars="0" w:firstLine="640" w:firstLineChars="200"/>
        <w:jc w:val="both"/>
        <w:textAlignment w:val="auto"/>
      </w:pPr>
      <w:r>
        <w:rPr>
          <w:rFonts w:hint="eastAsia" w:ascii="黑体" w:hAnsi="黑体" w:eastAsia="黑体"/>
          <w:sz w:val="32"/>
          <w:szCs w:val="32"/>
          <w:lang w:eastAsia="zh-CN"/>
        </w:rPr>
        <w:t>二、</w:t>
      </w:r>
      <w:r>
        <w:rPr>
          <w:rFonts w:hint="eastAsia" w:ascii="黑体" w:hAnsi="黑体" w:eastAsia="黑体"/>
          <w:sz w:val="32"/>
          <w:szCs w:val="32"/>
        </w:rPr>
        <w:t>起草</w:t>
      </w:r>
      <w:r>
        <w:rPr>
          <w:rFonts w:hint="eastAsia" w:ascii="黑体" w:hAnsi="黑体" w:eastAsia="黑体"/>
          <w:sz w:val="32"/>
          <w:szCs w:val="32"/>
          <w:lang w:eastAsia="zh-CN"/>
        </w:rPr>
        <w:t>依据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579" w:lineRule="exact"/>
        <w:ind w:left="0" w:leftChars="0" w:firstLine="640" w:firstLineChars="200"/>
        <w:jc w:val="both"/>
        <w:textAlignment w:val="auto"/>
        <w:rPr>
          <w:rFonts w:hint="eastAsia"/>
          <w:highlight w:val="none"/>
        </w:rPr>
      </w:pPr>
      <w:r>
        <w:rPr>
          <w:rFonts w:hint="eastAsia"/>
          <w:highlight w:val="none"/>
          <w:lang w:val="en-US" w:eastAsia="zh-CN"/>
        </w:rPr>
        <w:t>1.</w:t>
      </w:r>
      <w:r>
        <w:rPr>
          <w:rFonts w:hint="eastAsia"/>
          <w:highlight w:val="none"/>
        </w:rPr>
        <w:t>《中华人民共和国退役军人保障法》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579" w:lineRule="exact"/>
        <w:ind w:left="0" w:leftChars="0" w:firstLine="640" w:firstLineChars="200"/>
        <w:jc w:val="both"/>
        <w:textAlignment w:val="auto"/>
        <w:rPr>
          <w:rFonts w:hint="eastAsia"/>
          <w:highlight w:val="none"/>
        </w:rPr>
      </w:pPr>
      <w:r>
        <w:rPr>
          <w:rFonts w:hint="eastAsia"/>
          <w:highlight w:val="none"/>
          <w:lang w:val="en-US" w:eastAsia="zh-CN"/>
        </w:rPr>
        <w:t>2.</w:t>
      </w:r>
      <w:r>
        <w:rPr>
          <w:rFonts w:hint="eastAsia"/>
          <w:highlight w:val="none"/>
        </w:rPr>
        <w:t>《关于促进新时代退役军人就业创业工作的意见》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579" w:lineRule="exact"/>
        <w:ind w:left="0" w:leftChars="0" w:firstLine="640" w:firstLineChars="200"/>
        <w:jc w:val="both"/>
        <w:textAlignment w:val="auto"/>
        <w:rPr>
          <w:rFonts w:hint="eastAsia"/>
          <w:highlight w:val="none"/>
        </w:rPr>
      </w:pPr>
      <w:r>
        <w:rPr>
          <w:rFonts w:hint="eastAsia"/>
          <w:highlight w:val="none"/>
          <w:lang w:val="en-US" w:eastAsia="zh-CN"/>
        </w:rPr>
        <w:t>3.</w:t>
      </w:r>
      <w:r>
        <w:rPr>
          <w:rFonts w:hint="eastAsia"/>
          <w:highlight w:val="none"/>
        </w:rPr>
        <w:t>《工业和信息化部科技型企业孵化器管理办法》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579" w:lineRule="exact"/>
        <w:ind w:left="0" w:leftChars="0" w:firstLine="640" w:firstLineChars="200"/>
        <w:jc w:val="both"/>
        <w:textAlignment w:val="auto"/>
        <w:rPr>
          <w:rFonts w:hint="eastAsia"/>
          <w:highlight w:val="none"/>
        </w:rPr>
      </w:pPr>
      <w:r>
        <w:rPr>
          <w:rFonts w:hint="eastAsia"/>
          <w:highlight w:val="none"/>
          <w:lang w:val="en-US" w:eastAsia="zh-CN"/>
        </w:rPr>
        <w:t>3.</w:t>
      </w:r>
      <w:r>
        <w:rPr>
          <w:rFonts w:hint="eastAsia"/>
          <w:highlight w:val="none"/>
        </w:rPr>
        <w:t>《广东省促进退役军人就业创业的若干政策措施》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579" w:lineRule="exact"/>
        <w:ind w:left="0" w:leftChars="0" w:firstLine="640" w:firstLineChars="200"/>
        <w:jc w:val="both"/>
        <w:textAlignment w:val="auto"/>
        <w:rPr>
          <w:rFonts w:hint="default" w:eastAsia="仿宋_GB2312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4.</w:t>
      </w:r>
      <w:r>
        <w:rPr>
          <w:rFonts w:hint="eastAsia"/>
          <w:highlight w:val="none"/>
        </w:rPr>
        <w:t>《深圳市促进退役军人高质量就业创业的若干措施》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left="0" w:leftChars="0" w:right="0" w:rightChars="0"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三、</w:t>
      </w:r>
      <w:r>
        <w:rPr>
          <w:rFonts w:hint="eastAsia" w:ascii="黑体" w:hAnsi="黑体" w:eastAsia="黑体"/>
          <w:sz w:val="32"/>
          <w:szCs w:val="32"/>
          <w:lang w:eastAsia="zh-CN"/>
        </w:rPr>
        <w:t>修订思路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sz w:val="32"/>
          <w:szCs w:val="32"/>
          <w:lang w:eastAsia="zh-CN"/>
        </w:rPr>
        <w:t>本次修订非系统全面修订，是在保持《管理办法》既有框架和主要内容的基础上，立足服务和孵化退役军人创办的高新技术类企业，吸引更多的创新型退役军人来深创业，重点围绕入驻标准、入驻企业评估考核及毕业标准等内容进行修订。主要修订思路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（一）扩大政策辐射范围。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进一步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支持退役军人以多元形式参与创业，促使示范基地引进更多由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退役军人参与创办或主导的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优质军创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企业，放宽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退役军人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对企业控制权的要求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第二章第一条第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（二）调整注册资本实缴时限。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充分考虑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入驻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企业办理工商登记、银行开户等实际流程所需时间，给予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入驻企业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更灵活的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注册资本实缴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期限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第二章第一条第三项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（三）优化报表报送要求。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简化入驻企业定期提交企业报表的种类和频次，减轻企业填报负担，提高示范基地入驻企业管理效率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第四章第五条第四项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579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（四）完善孵化企业毕业标准。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参照《工业和信息化部科技型企业孵化器管理办法》</w:t>
      </w:r>
      <w:r>
        <w:rPr>
          <w:rFonts w:hint="eastAsia" w:ascii="仿宋_GB2312" w:hAnsi="仿宋_GB2312" w:cs="仿宋_GB2312"/>
          <w:kern w:val="2"/>
          <w:sz w:val="32"/>
          <w:szCs w:val="32"/>
          <w:lang w:val="en-US" w:eastAsia="zh-CN" w:bidi="ar-SA"/>
        </w:rPr>
        <w:t>以及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结合</w:t>
      </w:r>
      <w:r>
        <w:rPr>
          <w:rFonts w:hint="eastAsia" w:ascii="仿宋_GB2312" w:hAnsi="仿宋_GB2312" w:cs="仿宋_GB2312"/>
          <w:kern w:val="2"/>
          <w:sz w:val="32"/>
          <w:szCs w:val="32"/>
          <w:lang w:val="en-US" w:eastAsia="zh-CN" w:bidi="ar-SA"/>
        </w:rPr>
        <w:t>示范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基地</w:t>
      </w:r>
      <w:r>
        <w:rPr>
          <w:rFonts w:hint="eastAsia" w:ascii="仿宋_GB2312" w:hAnsi="仿宋_GB2312" w:cs="仿宋_GB2312"/>
          <w:kern w:val="2"/>
          <w:sz w:val="32"/>
          <w:szCs w:val="32"/>
          <w:lang w:val="en-US" w:eastAsia="zh-CN" w:bidi="ar-SA"/>
        </w:rPr>
        <w:t>实际运营发展情况，修订孵化企业毕业标准，促使毕业企业标准更科学、合理化（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第五章第一条</w:t>
      </w:r>
      <w:r>
        <w:rPr>
          <w:rFonts w:hint="eastAsia" w:ascii="仿宋_GB2312" w:hAnsi="仿宋_GB2312" w:cs="仿宋_GB2312"/>
          <w:kern w:val="2"/>
          <w:sz w:val="32"/>
          <w:szCs w:val="32"/>
          <w:lang w:val="en-US" w:eastAsia="zh-CN" w:bidi="ar-SA"/>
        </w:rPr>
        <w:t>第一、二项）。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579" w:lineRule="exact"/>
        <w:ind w:left="0" w:leftChars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（五）规范语言表述。</w:t>
      </w:r>
      <w:r>
        <w:rPr>
          <w:rFonts w:hint="eastAsia" w:ascii="仿宋_GB2312" w:hAnsi="仿宋_GB2312" w:cs="仿宋_GB2312"/>
          <w:kern w:val="2"/>
          <w:sz w:val="32"/>
          <w:szCs w:val="32"/>
          <w:lang w:val="en-US" w:eastAsia="zh-CN" w:bidi="ar-SA"/>
        </w:rPr>
        <w:t>对原《管理办法》的语言表述进行校对与优化，重点规范术语使用的统一性、条款表述的准确性与严谨性，避免模糊和歧义。同时精简冗余表述，提升文本的规范性与可读性，增强管理办法的实际指导性和执行效力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四、修订版的</w:t>
      </w:r>
      <w:r>
        <w:rPr>
          <w:rFonts w:hint="eastAsia" w:ascii="黑体" w:hAnsi="黑体" w:eastAsia="黑体"/>
          <w:sz w:val="32"/>
          <w:szCs w:val="32"/>
        </w:rPr>
        <w:t>主要内容</w:t>
      </w:r>
    </w:p>
    <w:p>
      <w:pPr>
        <w:pStyle w:val="3"/>
        <w:spacing w:after="0" w:line="579" w:lineRule="exact"/>
        <w:ind w:left="0" w:leftChars="0" w:firstLine="640" w:firstLineChars="200"/>
        <w:jc w:val="both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管理办法（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修订版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》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共六章二十五条。</w:t>
      </w:r>
      <w:r>
        <w:rPr>
          <w:rFonts w:hint="eastAsia" w:ascii="仿宋_GB2312" w:hAnsi="仿宋_GB2312" w:cs="仿宋_GB2312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总则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，明确了入驻企业的范围和基地对入驻企业提供的服务内容；</w:t>
      </w:r>
      <w:r>
        <w:rPr>
          <w:rFonts w:hint="eastAsia" w:ascii="仿宋_GB2312" w:hAnsi="仿宋_GB2312" w:cs="仿宋_GB2312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入驻标准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，规定了企业入驻基地应满足的条件；</w:t>
      </w:r>
      <w:r>
        <w:rPr>
          <w:rFonts w:hint="eastAsia" w:ascii="仿宋_GB2312" w:hAnsi="仿宋_GB2312" w:cs="仿宋_GB2312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入驻程序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，规定了企业入驻基地的办理流程和相关手续；</w:t>
      </w:r>
      <w:r>
        <w:rPr>
          <w:rFonts w:hint="eastAsia" w:ascii="仿宋_GB2312" w:hAnsi="仿宋_GB2312" w:cs="仿宋_GB2312"/>
          <w:b/>
          <w:bCs/>
          <w:sz w:val="32"/>
          <w:szCs w:val="32"/>
          <w:lang w:val="en-US" w:eastAsia="zh-CN"/>
        </w:rPr>
        <w:t>四是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入驻企业的评估考核，规定了基地对入驻企业考核的程序、内容、评分标准和需提交的材料；</w:t>
      </w:r>
      <w:r>
        <w:rPr>
          <w:rFonts w:hint="eastAsia" w:ascii="仿宋_GB2312" w:hAnsi="仿宋_GB2312" w:cs="仿宋_GB2312"/>
          <w:b/>
          <w:bCs/>
          <w:sz w:val="32"/>
          <w:szCs w:val="32"/>
          <w:lang w:val="en-US" w:eastAsia="zh-CN"/>
        </w:rPr>
        <w:t>五是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入驻企业毕业与退出机制，规定了入驻企业毕业的标准和退出的要求；</w:t>
      </w:r>
      <w:r>
        <w:rPr>
          <w:rFonts w:hint="eastAsia" w:ascii="仿宋_GB2312" w:hAnsi="仿宋_GB2312" w:cs="仿宋_GB2312"/>
          <w:b/>
          <w:bCs/>
          <w:sz w:val="32"/>
          <w:szCs w:val="32"/>
          <w:lang w:val="en-US" w:eastAsia="zh-CN"/>
        </w:rPr>
        <w:t>六是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监督管理与期限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，规定了入驻企业的入驻期限、享受优惠政策的权利和接收监督管理的义务；</w:t>
      </w:r>
      <w:r>
        <w:rPr>
          <w:rFonts w:hint="eastAsia" w:ascii="仿宋_GB2312" w:hAnsi="仿宋_GB2312" w:cs="仿宋_GB2312"/>
          <w:b/>
          <w:bCs/>
          <w:sz w:val="32"/>
          <w:szCs w:val="32"/>
          <w:lang w:val="en-US" w:eastAsia="zh-CN"/>
        </w:rPr>
        <w:t>七是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附则，规定了《管理办法》的解释部门和发布时间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sectPr>
      <w:footerReference r:id="rId5" w:type="first"/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decimal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BYAAABkcnMvUEsBAhQAFAAAAAgAh07iQM6p&#10;ebnPAAAABQEAAA8AAAAAAAAAAQAgAAAAOAAAAGRycy9kb3ducmV2LnhtbFBLAQIUABQAAAAIAIdO&#10;4kBteV5o3QEAAL4DAAAOAAAAAAAAAAEAIAAAADQBAABkcnMvZTJvRG9jLnhtbFBLBQYAAAAABgAG&#10;AFkBAACD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WAAAAZHJzL1BLAQIUABQAAAAIAIdO4kDO&#10;qXm5zwAAAAUBAAAPAAAAAAAAAAEAIAAAADgAAABkcnMvZG93bnJldi54bWxQSwECFAAUAAAACACH&#10;TuJAHKLsON4BAAC+AwAADgAAAAAAAAABACAAAAA0AQAAZHJzL2Uyb0RvYy54bWxQSwUGAAAAAAYA&#10;BgBZAQAAh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2C69A8"/>
    <w:rsid w:val="02016AA8"/>
    <w:rsid w:val="031A51CE"/>
    <w:rsid w:val="034809C4"/>
    <w:rsid w:val="037B5E6A"/>
    <w:rsid w:val="06B12350"/>
    <w:rsid w:val="07857DF8"/>
    <w:rsid w:val="08DE001F"/>
    <w:rsid w:val="095732BE"/>
    <w:rsid w:val="0FD43210"/>
    <w:rsid w:val="12C80EB3"/>
    <w:rsid w:val="13E82DA5"/>
    <w:rsid w:val="15414CBC"/>
    <w:rsid w:val="1554183C"/>
    <w:rsid w:val="176830E7"/>
    <w:rsid w:val="179B5F27"/>
    <w:rsid w:val="189C70E3"/>
    <w:rsid w:val="19257972"/>
    <w:rsid w:val="1C071D03"/>
    <w:rsid w:val="1EA53FE5"/>
    <w:rsid w:val="238846B1"/>
    <w:rsid w:val="24887822"/>
    <w:rsid w:val="27FFF331"/>
    <w:rsid w:val="28D4745D"/>
    <w:rsid w:val="28DE6696"/>
    <w:rsid w:val="291A25BB"/>
    <w:rsid w:val="2D4A1E6E"/>
    <w:rsid w:val="2E9EC558"/>
    <w:rsid w:val="2ECE2183"/>
    <w:rsid w:val="2F0849EA"/>
    <w:rsid w:val="2F1B154D"/>
    <w:rsid w:val="30DB5DB8"/>
    <w:rsid w:val="33EF5138"/>
    <w:rsid w:val="34274F62"/>
    <w:rsid w:val="380E3452"/>
    <w:rsid w:val="38E3035E"/>
    <w:rsid w:val="3A314188"/>
    <w:rsid w:val="3A666CEB"/>
    <w:rsid w:val="3B567D10"/>
    <w:rsid w:val="3B866DA2"/>
    <w:rsid w:val="3B8D1786"/>
    <w:rsid w:val="3BBE1E16"/>
    <w:rsid w:val="3DA76F6B"/>
    <w:rsid w:val="3F0152D9"/>
    <w:rsid w:val="406D0A73"/>
    <w:rsid w:val="42A33722"/>
    <w:rsid w:val="48B1359F"/>
    <w:rsid w:val="4A1C0F66"/>
    <w:rsid w:val="4B2076C0"/>
    <w:rsid w:val="4D731F15"/>
    <w:rsid w:val="4DE147DC"/>
    <w:rsid w:val="4F5C268A"/>
    <w:rsid w:val="4FAD529C"/>
    <w:rsid w:val="53760EA7"/>
    <w:rsid w:val="56A2343C"/>
    <w:rsid w:val="5B722796"/>
    <w:rsid w:val="5C2E638B"/>
    <w:rsid w:val="5C7C125A"/>
    <w:rsid w:val="5DC66114"/>
    <w:rsid w:val="60F96242"/>
    <w:rsid w:val="61310942"/>
    <w:rsid w:val="63FF0F86"/>
    <w:rsid w:val="64493296"/>
    <w:rsid w:val="68590445"/>
    <w:rsid w:val="6BFC7DF1"/>
    <w:rsid w:val="6D535114"/>
    <w:rsid w:val="74971163"/>
    <w:rsid w:val="76737152"/>
    <w:rsid w:val="76875E9E"/>
    <w:rsid w:val="76CF0B0C"/>
    <w:rsid w:val="76E9088C"/>
    <w:rsid w:val="777B77E6"/>
    <w:rsid w:val="78AD37FA"/>
    <w:rsid w:val="7BAB14A6"/>
    <w:rsid w:val="7BBFBBE4"/>
    <w:rsid w:val="7D6704BC"/>
    <w:rsid w:val="7D9A7F76"/>
    <w:rsid w:val="7DCF274B"/>
    <w:rsid w:val="7E7370C3"/>
    <w:rsid w:val="7F7E52ED"/>
    <w:rsid w:val="7FE2D4AB"/>
    <w:rsid w:val="9EBD7EF0"/>
    <w:rsid w:val="BABF8096"/>
    <w:rsid w:val="DF1F890A"/>
    <w:rsid w:val="DF7F80CC"/>
    <w:rsid w:val="E9FE5ECD"/>
    <w:rsid w:val="F7CDE77C"/>
    <w:rsid w:val="FDA761A5"/>
    <w:rsid w:val="FE4E3B2C"/>
    <w:rsid w:val="FEF171CF"/>
    <w:rsid w:val="FF787F6B"/>
    <w:rsid w:val="FF7A49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4">
    <w:name w:val="heading 1"/>
    <w:basedOn w:val="1"/>
    <w:next w:val="1"/>
    <w:link w:val="13"/>
    <w:qFormat/>
    <w:uiPriority w:val="0"/>
    <w:pPr>
      <w:keepNext/>
      <w:keepLines/>
      <w:spacing w:line="560" w:lineRule="exact"/>
      <w:ind w:firstLine="954" w:firstLineChars="200"/>
      <w:outlineLvl w:val="0"/>
    </w:pPr>
    <w:rPr>
      <w:rFonts w:ascii="Times New Roman" w:hAnsi="Times New Roman" w:eastAsia="黑体"/>
      <w:bCs/>
      <w:kern w:val="44"/>
      <w:sz w:val="32"/>
      <w:szCs w:val="44"/>
    </w:rPr>
  </w:style>
  <w:style w:type="paragraph" w:styleId="5">
    <w:name w:val="heading 2"/>
    <w:basedOn w:val="1"/>
    <w:next w:val="1"/>
    <w:link w:val="14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980" w:firstLineChars="200"/>
      <w:outlineLvl w:val="1"/>
    </w:pPr>
    <w:rPr>
      <w:rFonts w:ascii="Arial" w:hAnsi="Arial" w:eastAsia="楷体_GB2312" w:cs="Times New Roman"/>
      <w:b/>
    </w:rPr>
  </w:style>
  <w:style w:type="paragraph" w:styleId="6">
    <w:name w:val="heading 3"/>
    <w:basedOn w:val="1"/>
    <w:next w:val="1"/>
    <w:unhideWhenUsed/>
    <w:qFormat/>
    <w:uiPriority w:val="0"/>
    <w:pPr>
      <w:spacing w:beforeAutospacing="0" w:afterAutospacing="0"/>
      <w:jc w:val="left"/>
      <w:outlineLvl w:val="2"/>
    </w:pPr>
    <w:rPr>
      <w:rFonts w:hint="eastAsia" w:ascii="宋体" w:hAnsi="宋体" w:eastAsia="仿宋_GB2312" w:cs="宋体"/>
      <w:b/>
      <w:kern w:val="0"/>
      <w:sz w:val="32"/>
      <w:szCs w:val="27"/>
      <w:lang w:bidi="ar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2">
    <w:name w:val="Strong"/>
    <w:basedOn w:val="11"/>
    <w:qFormat/>
    <w:uiPriority w:val="0"/>
    <w:rPr>
      <w:b/>
      <w:bCs/>
    </w:rPr>
  </w:style>
  <w:style w:type="character" w:customStyle="1" w:styleId="13">
    <w:name w:val="标题 1 Char"/>
    <w:link w:val="4"/>
    <w:qFormat/>
    <w:uiPriority w:val="0"/>
    <w:rPr>
      <w:rFonts w:ascii="Times New Roman" w:hAnsi="Times New Roman" w:eastAsia="黑体"/>
      <w:bCs/>
      <w:kern w:val="44"/>
      <w:sz w:val="32"/>
      <w:szCs w:val="44"/>
    </w:rPr>
  </w:style>
  <w:style w:type="character" w:customStyle="1" w:styleId="14">
    <w:name w:val="标题 2 Char"/>
    <w:link w:val="5"/>
    <w:qFormat/>
    <w:uiPriority w:val="0"/>
    <w:rPr>
      <w:rFonts w:ascii="Arial" w:hAnsi="Arial" w:eastAsia="楷体_GB2312" w:cs="Times New Roman"/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2014-11-04T04:08:00Z</dcterms:created>
  <dc:creator>zhaoxinlei</dc:creator>
  <cp:lastModifiedBy>陈俏</cp:lastModifiedBy>
  <dcterms:modified xsi:type="dcterms:W3CDTF">2025-09-26T17:54:36Z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KSOSaveFontToCloudKey">
    <vt:lpwstr>668298580_btnclosed</vt:lpwstr>
  </property>
  <property fmtid="{D5CDD505-2E9C-101B-9397-08002B2CF9AE}" pid="4" name="ICV">
    <vt:lpwstr>35E7D0297E6721B3A9F1B8681F7C396E</vt:lpwstr>
  </property>
</Properties>
</file>