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82D40A">
      <w:pPr>
        <w:rPr>
          <w:rFonts w:ascii="仿宋_GB2312" w:eastAsia="仿宋_GB2312"/>
          <w:sz w:val="24"/>
        </w:rPr>
      </w:pPr>
    </w:p>
    <w:p w14:paraId="670D67A9">
      <w:pPr>
        <w:spacing w:line="360" w:lineRule="auto"/>
        <w:rPr>
          <w:rFonts w:ascii="仿宋_GB2312" w:eastAsia="仿宋_GB2312"/>
          <w:sz w:val="44"/>
          <w:szCs w:val="44"/>
        </w:rPr>
      </w:pPr>
    </w:p>
    <w:p w14:paraId="084EAB0B">
      <w:pPr>
        <w:spacing w:line="360" w:lineRule="auto"/>
        <w:rPr>
          <w:rFonts w:ascii="仿宋_GB2312" w:eastAsia="仿宋_GB2312"/>
          <w:sz w:val="44"/>
          <w:szCs w:val="44"/>
        </w:rPr>
      </w:pPr>
    </w:p>
    <w:p w14:paraId="4D048702">
      <w:pPr>
        <w:spacing w:line="360" w:lineRule="auto"/>
        <w:rPr>
          <w:rFonts w:ascii="仿宋_GB2312" w:eastAsia="仿宋_GB2312"/>
          <w:sz w:val="44"/>
          <w:szCs w:val="44"/>
        </w:rPr>
      </w:pPr>
    </w:p>
    <w:p w14:paraId="41BC328A">
      <w:pPr>
        <w:spacing w:line="360" w:lineRule="auto"/>
        <w:rPr>
          <w:rFonts w:ascii="仿宋_GB2312" w:eastAsia="仿宋_GB2312"/>
          <w:sz w:val="44"/>
          <w:szCs w:val="44"/>
        </w:rPr>
      </w:pPr>
    </w:p>
    <w:p w14:paraId="6BEBB7AA">
      <w:pPr>
        <w:numPr>
          <w:ins w:id="0" w:author="Unknown" w:date=""/>
        </w:numPr>
        <w:jc w:val="center"/>
        <w:rPr>
          <w:rFonts w:ascii="宋体" w:hAnsi="宋体"/>
          <w:sz w:val="44"/>
          <w:szCs w:val="44"/>
        </w:rPr>
      </w:pPr>
      <w:r>
        <w:rPr>
          <w:rFonts w:ascii="宋体" w:hAnsi="宋体"/>
          <w:sz w:val="44"/>
          <w:szCs w:val="44"/>
        </w:rPr>
        <w:t>20</w:t>
      </w:r>
      <w:r>
        <w:rPr>
          <w:rFonts w:hint="eastAsia" w:ascii="宋体" w:hAnsi="宋体"/>
          <w:sz w:val="44"/>
          <w:szCs w:val="44"/>
        </w:rPr>
        <w:t>21</w:t>
      </w:r>
      <w:r>
        <w:rPr>
          <w:rFonts w:ascii="宋体" w:hAnsi="宋体"/>
          <w:sz w:val="44"/>
          <w:szCs w:val="44"/>
        </w:rPr>
        <w:t>年</w:t>
      </w:r>
      <w:r>
        <w:rPr>
          <w:rFonts w:hint="eastAsia" w:ascii="宋体" w:hAnsi="宋体"/>
          <w:sz w:val="44"/>
          <w:szCs w:val="44"/>
        </w:rPr>
        <w:t>度部门</w:t>
      </w:r>
      <w:r>
        <w:rPr>
          <w:rFonts w:ascii="宋体" w:hAnsi="宋体"/>
          <w:sz w:val="44"/>
          <w:szCs w:val="44"/>
        </w:rPr>
        <w:t>整体绩效自评报告</w:t>
      </w:r>
    </w:p>
    <w:p w14:paraId="4CF1E54D">
      <w:pPr>
        <w:spacing w:line="360" w:lineRule="auto"/>
        <w:rPr>
          <w:rFonts w:ascii="仿宋_GB2312" w:eastAsia="仿宋_GB2312"/>
          <w:sz w:val="32"/>
          <w:szCs w:val="32"/>
        </w:rPr>
      </w:pPr>
    </w:p>
    <w:p w14:paraId="76F68E37">
      <w:pPr>
        <w:spacing w:line="360" w:lineRule="auto"/>
        <w:rPr>
          <w:rFonts w:ascii="仿宋_GB2312" w:eastAsia="仿宋_GB2312"/>
          <w:sz w:val="32"/>
          <w:szCs w:val="32"/>
        </w:rPr>
      </w:pPr>
    </w:p>
    <w:p w14:paraId="6BBACC9D">
      <w:pPr>
        <w:spacing w:line="360" w:lineRule="auto"/>
        <w:rPr>
          <w:rFonts w:ascii="仿宋_GB2312" w:eastAsia="仿宋_GB2312"/>
          <w:sz w:val="32"/>
          <w:szCs w:val="32"/>
        </w:rPr>
      </w:pPr>
    </w:p>
    <w:p w14:paraId="78488DF4">
      <w:pPr>
        <w:spacing w:line="360" w:lineRule="auto"/>
        <w:rPr>
          <w:rFonts w:ascii="仿宋_GB2312" w:eastAsia="仿宋_GB2312"/>
          <w:sz w:val="32"/>
          <w:szCs w:val="32"/>
        </w:rPr>
      </w:pPr>
    </w:p>
    <w:p w14:paraId="127AD1A3">
      <w:pPr>
        <w:spacing w:line="360" w:lineRule="auto"/>
        <w:rPr>
          <w:rFonts w:ascii="仿宋_GB2312" w:eastAsia="仿宋_GB2312"/>
          <w:sz w:val="32"/>
          <w:szCs w:val="32"/>
        </w:rPr>
      </w:pPr>
    </w:p>
    <w:p w14:paraId="0CC927C5">
      <w:pPr>
        <w:spacing w:line="360" w:lineRule="auto"/>
        <w:rPr>
          <w:rFonts w:ascii="仿宋_GB2312" w:eastAsia="仿宋_GB2312"/>
          <w:sz w:val="32"/>
          <w:szCs w:val="32"/>
        </w:rPr>
      </w:pPr>
    </w:p>
    <w:p w14:paraId="1C0763F8">
      <w:pPr>
        <w:spacing w:line="360" w:lineRule="auto"/>
        <w:ind w:firstLine="1760" w:firstLineChars="550"/>
        <w:rPr>
          <w:rFonts w:ascii="仿宋_GB2312" w:eastAsia="仿宋_GB2312"/>
          <w:sz w:val="32"/>
          <w:szCs w:val="32"/>
        </w:rPr>
      </w:pPr>
      <w:r>
        <w:rPr>
          <w:rFonts w:hint="eastAsia" w:ascii="仿宋_GB2312" w:eastAsia="仿宋_GB2312"/>
          <w:sz w:val="32"/>
          <w:szCs w:val="32"/>
        </w:rPr>
        <w:t>部门名称（公章）：深圳市福田区科技创新局</w:t>
      </w:r>
    </w:p>
    <w:p w14:paraId="6292EBCC">
      <w:pPr>
        <w:spacing w:line="360" w:lineRule="auto"/>
        <w:ind w:firstLine="1760" w:firstLineChars="550"/>
        <w:rPr>
          <w:rFonts w:ascii="仿宋_GB2312" w:eastAsia="仿宋_GB2312"/>
          <w:sz w:val="32"/>
          <w:szCs w:val="32"/>
        </w:rPr>
      </w:pPr>
      <w:r>
        <w:rPr>
          <w:rFonts w:hint="eastAsia" w:ascii="仿宋_GB2312" w:eastAsia="仿宋_GB2312"/>
          <w:sz w:val="32"/>
          <w:szCs w:val="32"/>
        </w:rPr>
        <w:t>单位负责人（签章）：</w:t>
      </w:r>
    </w:p>
    <w:p w14:paraId="396CCE9F">
      <w:pPr>
        <w:spacing w:line="360" w:lineRule="auto"/>
        <w:ind w:firstLine="1760" w:firstLineChars="550"/>
        <w:rPr>
          <w:rFonts w:ascii="仿宋_GB2312" w:eastAsia="仿宋_GB2312"/>
          <w:sz w:val="32"/>
          <w:szCs w:val="32"/>
        </w:rPr>
      </w:pPr>
      <w:r>
        <w:rPr>
          <w:rFonts w:hint="eastAsia" w:ascii="仿宋_GB2312" w:eastAsia="仿宋_GB2312"/>
          <w:sz w:val="32"/>
          <w:szCs w:val="32"/>
        </w:rPr>
        <w:t>填报人：</w:t>
      </w:r>
    </w:p>
    <w:p w14:paraId="1E3F779D">
      <w:pPr>
        <w:spacing w:line="360" w:lineRule="auto"/>
        <w:ind w:firstLine="1760" w:firstLineChars="550"/>
        <w:rPr>
          <w:rFonts w:ascii="仿宋_GB2312" w:eastAsia="仿宋_GB2312"/>
          <w:sz w:val="32"/>
          <w:szCs w:val="32"/>
        </w:rPr>
      </w:pPr>
      <w:r>
        <w:rPr>
          <w:rFonts w:hint="eastAsia" w:ascii="仿宋_GB2312" w:eastAsia="仿宋_GB2312"/>
          <w:sz w:val="32"/>
          <w:szCs w:val="32"/>
        </w:rPr>
        <w:t>联系电话：</w:t>
      </w:r>
    </w:p>
    <w:p w14:paraId="03DC9150">
      <w:pPr>
        <w:jc w:val="center"/>
        <w:rPr>
          <w:rFonts w:ascii="仿宋_GB2312" w:eastAsia="仿宋_GB2312"/>
          <w:sz w:val="32"/>
          <w:szCs w:val="32"/>
        </w:rPr>
      </w:pPr>
    </w:p>
    <w:p w14:paraId="3FBF6448">
      <w:pPr>
        <w:jc w:val="center"/>
        <w:rPr>
          <w:rFonts w:ascii="宋体" w:hAnsi="宋体"/>
          <w:sz w:val="44"/>
          <w:szCs w:val="44"/>
        </w:rPr>
      </w:pPr>
    </w:p>
    <w:p w14:paraId="2C76FD2B">
      <w:pPr>
        <w:jc w:val="center"/>
        <w:rPr>
          <w:rFonts w:ascii="宋体" w:hAnsi="宋体"/>
          <w:sz w:val="44"/>
          <w:szCs w:val="44"/>
        </w:rPr>
      </w:pPr>
    </w:p>
    <w:p w14:paraId="6BDB1A62">
      <w:pPr>
        <w:rPr>
          <w:rFonts w:ascii="宋体" w:hAnsi="宋体"/>
          <w:sz w:val="44"/>
          <w:szCs w:val="44"/>
        </w:rPr>
      </w:pPr>
    </w:p>
    <w:p w14:paraId="4F90118B">
      <w:pPr>
        <w:rPr>
          <w:rFonts w:ascii="宋体" w:hAnsi="宋体"/>
          <w:sz w:val="44"/>
          <w:szCs w:val="44"/>
        </w:rPr>
      </w:pPr>
    </w:p>
    <w:p w14:paraId="64FDE9B8">
      <w:pPr>
        <w:spacing w:line="360" w:lineRule="auto"/>
        <w:ind w:firstLine="640" w:firstLineChars="200"/>
        <w:rPr>
          <w:rFonts w:ascii="仿宋_GB2312" w:eastAsia="仿宋_GB2312"/>
          <w:color w:val="000000"/>
          <w:kern w:val="0"/>
          <w:sz w:val="32"/>
          <w:szCs w:val="32"/>
        </w:rPr>
      </w:pPr>
    </w:p>
    <w:p w14:paraId="7BFC2B15">
      <w:pPr>
        <w:adjustRightInd w:val="0"/>
        <w:snapToGrid w:val="0"/>
        <w:spacing w:line="560" w:lineRule="exact"/>
        <w:ind w:firstLine="640" w:firstLineChars="200"/>
        <w:rPr>
          <w:rFonts w:ascii="仿宋_GB2312" w:eastAsia="仿宋_GB2312"/>
          <w:color w:val="000000"/>
          <w:kern w:val="0"/>
          <w:sz w:val="32"/>
          <w:szCs w:val="32"/>
        </w:rPr>
      </w:pPr>
      <w:r>
        <w:rPr>
          <w:rFonts w:hint="eastAsia" w:ascii="仿宋_GB2312" w:eastAsia="仿宋_GB2312"/>
          <w:color w:val="000000"/>
          <w:kern w:val="0"/>
          <w:sz w:val="32"/>
          <w:szCs w:val="32"/>
        </w:rPr>
        <w:t>为实现预算和绩效管理一体化，着力提升财政资源配置效率和使用效益，根据《福田区财政局关于开展2021年度预算绩效自评及项目支出</w:t>
      </w:r>
    </w:p>
    <w:p w14:paraId="140DAC68">
      <w:pPr>
        <w:adjustRightInd w:val="0"/>
        <w:snapToGrid w:val="0"/>
        <w:spacing w:line="560" w:lineRule="exact"/>
        <w:rPr>
          <w:rFonts w:ascii="仿宋_GB2312" w:eastAsia="仿宋_GB2312"/>
          <w:color w:val="000000"/>
          <w:kern w:val="0"/>
          <w:sz w:val="32"/>
          <w:szCs w:val="32"/>
        </w:rPr>
      </w:pPr>
      <w:r>
        <w:rPr>
          <w:rFonts w:hint="eastAsia" w:ascii="仿宋_GB2312" w:eastAsia="仿宋_GB2312"/>
          <w:color w:val="000000"/>
          <w:kern w:val="0"/>
          <w:sz w:val="32"/>
          <w:szCs w:val="32"/>
        </w:rPr>
        <w:t>工作的通知》（福财〔2022]53号)的要求，深圳市福田区科技创新局（以下简称“科创局”）对2021年度部门整体支出使用效益进行自我分析与评价，现就绩效自评情况汇报如下:</w:t>
      </w:r>
    </w:p>
    <w:p w14:paraId="6B9BDB49">
      <w:pPr>
        <w:adjustRightInd w:val="0"/>
        <w:snapToGrid w:val="0"/>
        <w:spacing w:line="560" w:lineRule="exact"/>
        <w:ind w:firstLine="643" w:firstLineChars="200"/>
        <w:rPr>
          <w:rFonts w:ascii="黑体" w:hAnsi="黑体" w:eastAsia="黑体"/>
          <w:b/>
          <w:bCs/>
          <w:sz w:val="32"/>
          <w:szCs w:val="32"/>
        </w:rPr>
      </w:pPr>
      <w:r>
        <w:rPr>
          <w:rFonts w:hint="eastAsia" w:ascii="黑体" w:hAnsi="黑体" w:eastAsia="黑体"/>
          <w:b/>
          <w:bCs/>
          <w:sz w:val="32"/>
          <w:szCs w:val="32"/>
        </w:rPr>
        <w:t>一、部门（单位）基本情况</w:t>
      </w:r>
    </w:p>
    <w:p w14:paraId="553860A0">
      <w:pPr>
        <w:adjustRightInd w:val="0"/>
        <w:snapToGrid w:val="0"/>
        <w:spacing w:line="560" w:lineRule="exact"/>
        <w:ind w:firstLine="643" w:firstLineChars="200"/>
        <w:rPr>
          <w:rFonts w:ascii="楷体" w:hAnsi="楷体" w:eastAsia="楷体"/>
          <w:b/>
          <w:color w:val="000000"/>
          <w:sz w:val="32"/>
          <w:szCs w:val="32"/>
        </w:rPr>
      </w:pPr>
      <w:r>
        <w:rPr>
          <w:rFonts w:hint="eastAsia" w:ascii="楷体" w:hAnsi="楷体" w:eastAsia="楷体"/>
          <w:b/>
          <w:color w:val="000000"/>
          <w:sz w:val="32"/>
          <w:szCs w:val="32"/>
        </w:rPr>
        <w:t>（一）部门主要职能。</w:t>
      </w:r>
    </w:p>
    <w:p w14:paraId="6EDFC38C">
      <w:pPr>
        <w:adjustRightInd w:val="0"/>
        <w:snapToGrid w:val="0"/>
        <w:spacing w:line="560" w:lineRule="exact"/>
        <w:ind w:firstLine="640" w:firstLineChars="200"/>
        <w:rPr>
          <w:rFonts w:ascii="仿宋_GB2312" w:eastAsia="仿宋_GB2312"/>
          <w:color w:val="000000"/>
          <w:kern w:val="0"/>
          <w:sz w:val="32"/>
          <w:szCs w:val="32"/>
        </w:rPr>
      </w:pPr>
      <w:r>
        <w:rPr>
          <w:rFonts w:hint="eastAsia" w:ascii="仿宋_GB2312" w:eastAsia="仿宋_GB2312"/>
          <w:color w:val="000000"/>
          <w:kern w:val="0"/>
          <w:sz w:val="32"/>
          <w:szCs w:val="32"/>
        </w:rPr>
        <w:t>深圳市福田区科技创新局（以下简称“科创局”）主要职能包括：1、拟订全区实施创新驱动发展战略、促进科技创新强区建设的规划，以及促进科技发展等方面的规划和政策并组织实施；2、统筹推进全区创新体系建设和科技体制改革，会同有关部门健全科技创新激励机制。促进知识产权的创造、培育和转化，促进区域创新软环境提升。优化科研体系建设，推动企业科技创新能力建设。促进科技和金融结合；3、牵头建立科研项目资金协调、评估、监管机制。会同有关部门提出优化配置科技资源的政策措施建议，推动多元化科技投入体系建设，负责拟订区级财政科技计划并实施。拟订分管资金分配使用方案，对资金支出进度、绩效、安全性和规范性等负责；4、拟订全区基础与应用基础研究计划、政策和措施。统筹国家重点实验室、省实验室、诺贝尔奖实验室、基础研究机构等创新平台建设。组织科研机构创新绩效管理，推进科技资源开放共享；5、组织拟订高新技术发展、科技促进社会发展的规划、政策、措施。组织开展重点领域技术发展需求分析，拟定区重大科技计划（专项）、重点领域研发计划并组织实施。统筹关键共性技术、前沿引领技术、现代工程技术、颠覆性技术研发和创新。对接国家和省、市重大科技项目，牵头组织重大技术攻关和成果应用示范；6、牵头全区技术转移体系建设，拟订科技成果转移转化相关政策措施并监督实施。指导科技服务业、技术市场发展。统筹推进全区科技公共服务体系、科技企业孵化育成体系建设。统筹推进福田区国家自主创新示范区和高新技术产业园区规划建设工作，加强高新技术企业培育，促进科技创新创业；7、会同有关部门拟订区科技人才队伍建设政策和措施，推动高水平科技创新人才队伍建设；8、拟订科技对外交往与创新能力开放合作的政策和措施，组织开展科技合作、科技人才与学术交流。组织国（境）内外及区域间科技交流与合作。组织参与国际大科学计划和大科学工程；9、负责安全生产重大科技攻关及技术研究的组织指导工作，并在安全生产科技进步、安全生产重大科研项目投入、安全生产领域重大研究成果推广等方面提供支持和保障；10、依照《中华人民共和国科学技术普及法》，制定和组织实施全区科普规划，推进全民科学素质教育，普及科学知识，传播科学思想和科学方法，开展青少年科学技术教育活动。开展面向科学技术工作者的继续教育和培训工作。联系指导各街道开展科普工作，主管区属学会（协会、研究会），联系指导全区科普教育基地的管理和建设；11、组织科学技术工作者参与科学技术政策制定和地区事务的政治协商、科学决策、民主监督工作，推进自主创新城区建设。反映科学技术工作者的建议、意见和诉求，维护科学技术工作者的合法权益；12、推广先进技术，促进科学发展。组织科学技术工作者为建立以企业为主体的技术创新体系、全面提升企业的自主创新能力作贡献。开展科学论证、咨询服务，突出政策建议，促进科学技术成果的转化；接受委托承担项目评估、成果鉴定等任务。开展民间国际科学技术交流活动，发展同国外和港澳台地区的科学技术团体和科学技术工作者的友好交往。围绕推动经济社会全面协调可持续发展，积极开展相关调查研究工作。兴办符合科协宗旨的社会公益性事业；13、完成区委、区政府和上级部门交办的其他任务。</w:t>
      </w:r>
    </w:p>
    <w:p w14:paraId="195DC181">
      <w:pPr>
        <w:adjustRightInd w:val="0"/>
        <w:snapToGrid w:val="0"/>
        <w:spacing w:line="560" w:lineRule="exact"/>
        <w:ind w:firstLine="643" w:firstLineChars="200"/>
        <w:rPr>
          <w:rFonts w:ascii="楷体" w:hAnsi="楷体" w:eastAsia="楷体"/>
          <w:b/>
          <w:color w:val="000000"/>
          <w:sz w:val="32"/>
          <w:szCs w:val="32"/>
        </w:rPr>
      </w:pPr>
      <w:r>
        <w:rPr>
          <w:rFonts w:hint="eastAsia" w:ascii="楷体" w:hAnsi="楷体" w:eastAsia="楷体"/>
          <w:b/>
          <w:color w:val="000000"/>
          <w:sz w:val="32"/>
          <w:szCs w:val="32"/>
        </w:rPr>
        <w:t>（二）年度总体工作和重点工作任务。</w:t>
      </w:r>
    </w:p>
    <w:p w14:paraId="3CD53E37">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我局坚持以习近平新时代中国特色社会主义思想为指导，抢抓粤港澳大湾区和中国特色社会主义先行示范区“双区驱动”重大历史机遇，按照区委区政府的部署，积极构建都市型、分布式、智能化的“中央创新区”。2021年度具体工作任务见下：</w:t>
      </w:r>
    </w:p>
    <w:p w14:paraId="5BC0A157">
      <w:pPr>
        <w:snapToGrid w:val="0"/>
        <w:spacing w:line="590" w:lineRule="exact"/>
        <w:jc w:val="center"/>
        <w:rPr>
          <w:rFonts w:ascii="仿宋_GB2312" w:eastAsia="仿宋_GB2312"/>
          <w:sz w:val="32"/>
          <w:szCs w:val="32"/>
        </w:rPr>
      </w:pPr>
      <w:r>
        <w:rPr>
          <w:rFonts w:hint="eastAsia" w:ascii="仿宋_GB2312" w:eastAsia="仿宋_GB2312"/>
          <w:color w:val="000000"/>
          <w:kern w:val="0"/>
          <w:sz w:val="32"/>
          <w:szCs w:val="32"/>
        </w:rPr>
        <w:t>科创局2021</w:t>
      </w:r>
      <w:r>
        <w:rPr>
          <w:rFonts w:hint="eastAsia" w:ascii="仿宋_GB2312" w:hAnsi="仿宋_GB2312" w:eastAsia="仿宋_GB2312" w:cs="仿宋_GB2312"/>
          <w:sz w:val="32"/>
          <w:szCs w:val="32"/>
        </w:rPr>
        <w:t>年度总体工作和重点工作任务</w:t>
      </w:r>
      <w:r>
        <w:rPr>
          <w:rFonts w:hint="eastAsia" w:ascii="仿宋_GB2312" w:eastAsia="仿宋_GB2312"/>
          <w:sz w:val="32"/>
          <w:szCs w:val="32"/>
        </w:rPr>
        <w:t>一览表</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2967"/>
        <w:gridCol w:w="6135"/>
      </w:tblGrid>
      <w:tr w14:paraId="12DC2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036" w:type="dxa"/>
          </w:tcPr>
          <w:p w14:paraId="07FA6CE3">
            <w:pPr>
              <w:snapToGrid w:val="0"/>
              <w:spacing w:line="590" w:lineRule="exact"/>
              <w:jc w:val="center"/>
              <w:rPr>
                <w:rFonts w:ascii="仿宋_GB2312" w:hAnsi="仿宋" w:eastAsia="仿宋_GB2312"/>
                <w:sz w:val="32"/>
                <w:szCs w:val="32"/>
              </w:rPr>
            </w:pPr>
            <w:r>
              <w:rPr>
                <w:rFonts w:hint="eastAsia" w:ascii="仿宋_GB2312" w:hAnsi="仿宋" w:eastAsia="仿宋_GB2312"/>
                <w:sz w:val="32"/>
                <w:szCs w:val="32"/>
              </w:rPr>
              <w:t>序号</w:t>
            </w:r>
          </w:p>
        </w:tc>
        <w:tc>
          <w:tcPr>
            <w:tcW w:w="2967" w:type="dxa"/>
          </w:tcPr>
          <w:p w14:paraId="2D2FF19F">
            <w:pPr>
              <w:snapToGrid w:val="0"/>
              <w:spacing w:line="590" w:lineRule="exact"/>
              <w:jc w:val="center"/>
              <w:rPr>
                <w:rFonts w:ascii="仿宋_GB2312" w:hAnsi="仿宋" w:eastAsia="仿宋_GB2312"/>
                <w:sz w:val="32"/>
                <w:szCs w:val="32"/>
              </w:rPr>
            </w:pPr>
            <w:r>
              <w:rPr>
                <w:rFonts w:hint="eastAsia" w:ascii="仿宋_GB2312" w:hAnsi="仿宋" w:eastAsia="仿宋_GB2312"/>
                <w:sz w:val="32"/>
                <w:szCs w:val="32"/>
              </w:rPr>
              <w:t>工作目标</w:t>
            </w:r>
          </w:p>
        </w:tc>
        <w:tc>
          <w:tcPr>
            <w:tcW w:w="6135" w:type="dxa"/>
          </w:tcPr>
          <w:p w14:paraId="23551A3C">
            <w:pPr>
              <w:snapToGrid w:val="0"/>
              <w:spacing w:line="590" w:lineRule="exact"/>
              <w:jc w:val="center"/>
              <w:rPr>
                <w:rFonts w:ascii="仿宋_GB2312" w:hAnsi="仿宋" w:eastAsia="仿宋_GB2312"/>
                <w:sz w:val="32"/>
                <w:szCs w:val="32"/>
              </w:rPr>
            </w:pPr>
            <w:r>
              <w:rPr>
                <w:rFonts w:hint="eastAsia" w:ascii="仿宋_GB2312" w:hAnsi="仿宋" w:eastAsia="仿宋_GB2312"/>
                <w:sz w:val="32"/>
                <w:szCs w:val="32"/>
              </w:rPr>
              <w:t>工作内容</w:t>
            </w:r>
          </w:p>
        </w:tc>
      </w:tr>
      <w:tr w14:paraId="6C676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tcPr>
          <w:p w14:paraId="24169106">
            <w:pPr>
              <w:snapToGrid w:val="0"/>
              <w:spacing w:line="590" w:lineRule="exact"/>
              <w:jc w:val="center"/>
              <w:rPr>
                <w:rFonts w:ascii="仿宋_GB2312" w:hAnsi="仿宋" w:eastAsia="仿宋_GB2312"/>
                <w:sz w:val="32"/>
                <w:szCs w:val="32"/>
              </w:rPr>
            </w:pPr>
            <w:r>
              <w:rPr>
                <w:rFonts w:hint="eastAsia" w:ascii="仿宋_GB2312" w:hAnsi="仿宋" w:eastAsia="仿宋_GB2312"/>
                <w:sz w:val="32"/>
                <w:szCs w:val="32"/>
              </w:rPr>
              <w:t>1</w:t>
            </w:r>
          </w:p>
        </w:tc>
        <w:tc>
          <w:tcPr>
            <w:tcW w:w="2967" w:type="dxa"/>
          </w:tcPr>
          <w:p w14:paraId="10C65904">
            <w:pPr>
              <w:snapToGrid w:val="0"/>
              <w:spacing w:line="590" w:lineRule="exact"/>
              <w:jc w:val="left"/>
              <w:rPr>
                <w:rFonts w:ascii="仿宋_GB2312" w:hAnsi="仿宋" w:eastAsia="仿宋_GB2312"/>
                <w:sz w:val="32"/>
                <w:szCs w:val="32"/>
              </w:rPr>
            </w:pPr>
            <w:r>
              <w:rPr>
                <w:rFonts w:hint="eastAsia" w:ascii="仿宋_GB2312" w:eastAsia="仿宋_GB2312"/>
                <w:color w:val="000000"/>
                <w:kern w:val="0"/>
                <w:sz w:val="32"/>
                <w:szCs w:val="32"/>
              </w:rPr>
              <w:t>抓好“一个核心”，努力推进“深港科技创新合作区”实质开发。</w:t>
            </w:r>
          </w:p>
        </w:tc>
        <w:tc>
          <w:tcPr>
            <w:tcW w:w="6135" w:type="dxa"/>
          </w:tcPr>
          <w:p w14:paraId="2451AD05">
            <w:pPr>
              <w:snapToGrid w:val="0"/>
              <w:spacing w:line="590" w:lineRule="exact"/>
              <w:jc w:val="left"/>
              <w:rPr>
                <w:rFonts w:ascii="仿宋_GB2312" w:hAnsi="仿宋" w:eastAsia="仿宋_GB2312"/>
                <w:sz w:val="32"/>
                <w:szCs w:val="32"/>
              </w:rPr>
            </w:pPr>
            <w:r>
              <w:rPr>
                <w:rFonts w:hint="eastAsia" w:ascii="仿宋_GB2312" w:eastAsia="仿宋_GB2312"/>
                <w:color w:val="000000"/>
                <w:kern w:val="0"/>
                <w:sz w:val="32"/>
                <w:szCs w:val="32"/>
              </w:rPr>
              <w:t>全面启动“创新福田”强基行动计划，以深港科技创新合作区为强核，充分利用深港两地优势资源，加快云集创新平台载体、破壁关键核心技术、引进培育创新型龙头企业、培育新产业新业态、增强创新空间布局、优化创新服务体系、集聚高端科技人才、推动科技体制机制改革，实施全域创新行动计划，全力建设综合性国家科学中心核心区。</w:t>
            </w:r>
          </w:p>
        </w:tc>
      </w:tr>
      <w:tr w14:paraId="3702B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tcPr>
          <w:p w14:paraId="55C09E8F">
            <w:pPr>
              <w:snapToGrid w:val="0"/>
              <w:spacing w:line="590" w:lineRule="exact"/>
              <w:jc w:val="center"/>
              <w:rPr>
                <w:rFonts w:ascii="仿宋_GB2312" w:hAnsi="仿宋" w:eastAsia="仿宋_GB2312"/>
                <w:sz w:val="32"/>
                <w:szCs w:val="32"/>
              </w:rPr>
            </w:pPr>
            <w:r>
              <w:rPr>
                <w:rFonts w:hint="eastAsia" w:ascii="仿宋_GB2312" w:hAnsi="仿宋" w:eastAsia="仿宋_GB2312"/>
                <w:sz w:val="32"/>
                <w:szCs w:val="32"/>
              </w:rPr>
              <w:t>2</w:t>
            </w:r>
          </w:p>
        </w:tc>
        <w:tc>
          <w:tcPr>
            <w:tcW w:w="2967" w:type="dxa"/>
          </w:tcPr>
          <w:p w14:paraId="598FB355">
            <w:pPr>
              <w:snapToGrid w:val="0"/>
              <w:spacing w:line="590" w:lineRule="exact"/>
              <w:jc w:val="left"/>
              <w:rPr>
                <w:rFonts w:ascii="仿宋_GB2312" w:eastAsia="仿宋_GB2312"/>
                <w:color w:val="000000"/>
                <w:kern w:val="0"/>
                <w:sz w:val="32"/>
                <w:szCs w:val="32"/>
              </w:rPr>
            </w:pPr>
            <w:r>
              <w:rPr>
                <w:rFonts w:hint="eastAsia" w:ascii="仿宋_GB2312" w:eastAsia="仿宋_GB2312"/>
                <w:color w:val="000000"/>
                <w:kern w:val="0"/>
                <w:sz w:val="32"/>
                <w:szCs w:val="32"/>
              </w:rPr>
              <w:t>突出“两项指标”，力保完成全年度科技创新绩效任务</w:t>
            </w:r>
          </w:p>
        </w:tc>
        <w:tc>
          <w:tcPr>
            <w:tcW w:w="6135" w:type="dxa"/>
          </w:tcPr>
          <w:p w14:paraId="78DFA67B">
            <w:pPr>
              <w:snapToGrid w:val="0"/>
              <w:spacing w:line="590" w:lineRule="exact"/>
              <w:jc w:val="left"/>
              <w:rPr>
                <w:rFonts w:ascii="仿宋_GB2312" w:eastAsia="仿宋_GB2312"/>
                <w:color w:val="000000"/>
                <w:kern w:val="0"/>
                <w:sz w:val="32"/>
                <w:szCs w:val="32"/>
              </w:rPr>
            </w:pPr>
            <w:r>
              <w:rPr>
                <w:rFonts w:hint="eastAsia" w:ascii="仿宋_GB2312" w:eastAsia="仿宋_GB2312"/>
                <w:color w:val="000000"/>
                <w:kern w:val="0"/>
                <w:sz w:val="32"/>
                <w:szCs w:val="32"/>
              </w:rPr>
              <w:t>努力提高我区R&amp;D经费投入水平，完成全市大型工业企业研发机构全覆盖目标，充分挖掘大型工业企业在R&amp;D投入方面的有关数据。实施高新技术企业扩容提质行动，建立市场为主导、企业为主体、政府为桥梁的福田区高新技术成果转化推广应用机制，推动高新技术企业高质量发展。</w:t>
            </w:r>
          </w:p>
        </w:tc>
      </w:tr>
      <w:tr w14:paraId="0152B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tcPr>
          <w:p w14:paraId="7F4E9F9F">
            <w:pPr>
              <w:snapToGrid w:val="0"/>
              <w:spacing w:line="590" w:lineRule="exact"/>
              <w:jc w:val="center"/>
              <w:rPr>
                <w:rFonts w:ascii="仿宋_GB2312" w:hAnsi="仿宋" w:eastAsia="仿宋_GB2312"/>
                <w:sz w:val="32"/>
                <w:szCs w:val="32"/>
              </w:rPr>
            </w:pPr>
            <w:r>
              <w:rPr>
                <w:rFonts w:hint="eastAsia" w:ascii="仿宋_GB2312" w:hAnsi="仿宋" w:eastAsia="仿宋_GB2312"/>
                <w:sz w:val="32"/>
                <w:szCs w:val="32"/>
              </w:rPr>
              <w:t>3</w:t>
            </w:r>
          </w:p>
        </w:tc>
        <w:tc>
          <w:tcPr>
            <w:tcW w:w="2967" w:type="dxa"/>
          </w:tcPr>
          <w:p w14:paraId="064E97CB">
            <w:pPr>
              <w:snapToGrid w:val="0"/>
              <w:spacing w:line="590" w:lineRule="exact"/>
              <w:jc w:val="left"/>
              <w:rPr>
                <w:rFonts w:ascii="仿宋_GB2312" w:eastAsia="仿宋_GB2312"/>
                <w:color w:val="000000"/>
                <w:kern w:val="0"/>
                <w:sz w:val="32"/>
                <w:szCs w:val="32"/>
              </w:rPr>
            </w:pPr>
            <w:r>
              <w:rPr>
                <w:rFonts w:hint="eastAsia" w:ascii="仿宋_GB2312" w:eastAsia="仿宋_GB2312"/>
                <w:color w:val="000000"/>
                <w:kern w:val="0"/>
                <w:sz w:val="32"/>
                <w:szCs w:val="32"/>
              </w:rPr>
              <w:t>做好“三项工作”，助力企业做大做强</w:t>
            </w:r>
          </w:p>
        </w:tc>
        <w:tc>
          <w:tcPr>
            <w:tcW w:w="6135" w:type="dxa"/>
          </w:tcPr>
          <w:p w14:paraId="1021F222">
            <w:pPr>
              <w:snapToGrid w:val="0"/>
              <w:spacing w:line="590" w:lineRule="exact"/>
              <w:jc w:val="left"/>
              <w:rPr>
                <w:rFonts w:ascii="仿宋_GB2312" w:eastAsia="仿宋_GB2312"/>
                <w:color w:val="000000"/>
                <w:kern w:val="0"/>
                <w:sz w:val="32"/>
                <w:szCs w:val="32"/>
              </w:rPr>
            </w:pPr>
            <w:r>
              <w:rPr>
                <w:rFonts w:hint="eastAsia" w:ascii="仿宋_GB2312" w:eastAsia="仿宋_GB2312"/>
                <w:color w:val="000000"/>
                <w:kern w:val="0"/>
                <w:sz w:val="32"/>
                <w:szCs w:val="32"/>
              </w:rPr>
              <w:t>一是进一步加强调研学习，完善科技创新分项支持的有关政策，更好地发挥和放大财政资金的撬动作用；二是做好“福田英才”和人才住房保障工作，吸引更多的创新型企业和人才，为福田创新创业人才发展注入新动力；三是做好服务企业和园区管理工作，努力引导和支持我区园区（孵化器）进一步提质增效，扩大空间规模，提升服务质量，创新孵化服务模式。</w:t>
            </w:r>
          </w:p>
        </w:tc>
      </w:tr>
      <w:tr w14:paraId="42E40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tcPr>
          <w:p w14:paraId="5E106C6F">
            <w:pPr>
              <w:snapToGrid w:val="0"/>
              <w:spacing w:line="590" w:lineRule="exact"/>
              <w:jc w:val="center"/>
              <w:rPr>
                <w:rFonts w:ascii="仿宋_GB2312" w:hAnsi="仿宋" w:eastAsia="仿宋_GB2312"/>
                <w:sz w:val="32"/>
                <w:szCs w:val="32"/>
              </w:rPr>
            </w:pPr>
            <w:r>
              <w:rPr>
                <w:rFonts w:hint="eastAsia" w:ascii="仿宋_GB2312" w:hAnsi="仿宋" w:eastAsia="仿宋_GB2312"/>
                <w:sz w:val="32"/>
                <w:szCs w:val="32"/>
              </w:rPr>
              <w:t>4</w:t>
            </w:r>
          </w:p>
        </w:tc>
        <w:tc>
          <w:tcPr>
            <w:tcW w:w="2967" w:type="dxa"/>
          </w:tcPr>
          <w:p w14:paraId="371CD0D1">
            <w:pPr>
              <w:snapToGrid w:val="0"/>
              <w:spacing w:line="590" w:lineRule="exact"/>
              <w:jc w:val="left"/>
              <w:rPr>
                <w:rFonts w:ascii="仿宋_GB2312" w:eastAsia="仿宋_GB2312"/>
                <w:color w:val="000000"/>
                <w:kern w:val="0"/>
                <w:sz w:val="32"/>
                <w:szCs w:val="32"/>
              </w:rPr>
            </w:pPr>
            <w:r>
              <w:rPr>
                <w:rFonts w:hint="eastAsia" w:ascii="仿宋_GB2312" w:eastAsia="仿宋_GB2312"/>
                <w:color w:val="000000"/>
                <w:kern w:val="0"/>
                <w:sz w:val="32"/>
                <w:szCs w:val="32"/>
              </w:rPr>
              <w:t>建设“四大工程”，努力打好福田科技创新攻坚战</w:t>
            </w:r>
          </w:p>
        </w:tc>
        <w:tc>
          <w:tcPr>
            <w:tcW w:w="6135" w:type="dxa"/>
          </w:tcPr>
          <w:p w14:paraId="6783B5D8">
            <w:pPr>
              <w:snapToGrid w:val="0"/>
              <w:spacing w:line="590" w:lineRule="exact"/>
              <w:jc w:val="left"/>
              <w:rPr>
                <w:rFonts w:ascii="仿宋_GB2312" w:eastAsia="仿宋_GB2312"/>
                <w:color w:val="000000"/>
                <w:kern w:val="0"/>
                <w:sz w:val="32"/>
                <w:szCs w:val="32"/>
              </w:rPr>
            </w:pPr>
            <w:r>
              <w:rPr>
                <w:rFonts w:hint="eastAsia" w:ascii="仿宋_GB2312" w:eastAsia="仿宋_GB2312"/>
                <w:color w:val="000000"/>
                <w:kern w:val="0"/>
                <w:sz w:val="32"/>
                <w:szCs w:val="32"/>
              </w:rPr>
              <w:t>继续建设都市型分布式智能化科创区，积极打造华强北超级孵化器，建设一流知识产权生态区，打造国际领先的5G试验场等</w:t>
            </w:r>
          </w:p>
        </w:tc>
      </w:tr>
      <w:tr w14:paraId="7BDE1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tcPr>
          <w:p w14:paraId="41640067">
            <w:pPr>
              <w:snapToGrid w:val="0"/>
              <w:spacing w:line="590" w:lineRule="exact"/>
              <w:jc w:val="center"/>
              <w:rPr>
                <w:rFonts w:ascii="仿宋_GB2312" w:hAnsi="仿宋" w:eastAsia="仿宋_GB2312"/>
                <w:sz w:val="32"/>
                <w:szCs w:val="32"/>
              </w:rPr>
            </w:pPr>
            <w:r>
              <w:rPr>
                <w:rFonts w:hint="eastAsia" w:ascii="仿宋_GB2312" w:hAnsi="仿宋" w:eastAsia="仿宋_GB2312"/>
                <w:sz w:val="32"/>
                <w:szCs w:val="32"/>
              </w:rPr>
              <w:t>5</w:t>
            </w:r>
          </w:p>
        </w:tc>
        <w:tc>
          <w:tcPr>
            <w:tcW w:w="2967" w:type="dxa"/>
          </w:tcPr>
          <w:p w14:paraId="34704669">
            <w:pPr>
              <w:snapToGrid w:val="0"/>
              <w:spacing w:line="590" w:lineRule="exact"/>
              <w:jc w:val="left"/>
              <w:rPr>
                <w:rFonts w:ascii="仿宋_GB2312" w:eastAsia="仿宋_GB2312"/>
                <w:color w:val="000000"/>
                <w:kern w:val="0"/>
                <w:sz w:val="32"/>
                <w:szCs w:val="32"/>
              </w:rPr>
            </w:pPr>
            <w:r>
              <w:rPr>
                <w:rFonts w:hint="eastAsia" w:ascii="仿宋_GB2312" w:eastAsia="仿宋_GB2312"/>
                <w:color w:val="000000"/>
                <w:kern w:val="0"/>
                <w:sz w:val="32"/>
                <w:szCs w:val="32"/>
              </w:rPr>
              <w:t>组织开展各项大型活动，加强与科技工作者联络</w:t>
            </w:r>
          </w:p>
        </w:tc>
        <w:tc>
          <w:tcPr>
            <w:tcW w:w="6135" w:type="dxa"/>
          </w:tcPr>
          <w:p w14:paraId="5249FF90">
            <w:pPr>
              <w:snapToGrid w:val="0"/>
              <w:spacing w:line="590" w:lineRule="exact"/>
              <w:jc w:val="left"/>
              <w:rPr>
                <w:rFonts w:ascii="仿宋_GB2312" w:eastAsia="仿宋_GB2312"/>
                <w:color w:val="000000"/>
                <w:kern w:val="0"/>
                <w:sz w:val="32"/>
                <w:szCs w:val="32"/>
              </w:rPr>
            </w:pPr>
            <w:r>
              <w:rPr>
                <w:rFonts w:hint="eastAsia" w:ascii="仿宋_GB2312" w:eastAsia="仿宋_GB2312"/>
                <w:color w:val="000000"/>
                <w:kern w:val="0"/>
                <w:sz w:val="32"/>
                <w:szCs w:val="32"/>
              </w:rPr>
              <w:t>组织科协常委委员培训，配合市科协落实科普条例，提升华强北科普氛围，认真组织举办好高交会、双创周、深创赛（福田赛区）、政策宣讲、全国科普日等大型活动，推进全年特色科普活动开展。</w:t>
            </w:r>
          </w:p>
        </w:tc>
      </w:tr>
    </w:tbl>
    <w:p w14:paraId="11AC5230">
      <w:pPr>
        <w:adjustRightInd w:val="0"/>
        <w:snapToGrid w:val="0"/>
        <w:spacing w:line="560" w:lineRule="exact"/>
        <w:ind w:firstLine="643" w:firstLineChars="200"/>
        <w:rPr>
          <w:rFonts w:ascii="楷体" w:hAnsi="楷体" w:eastAsia="楷体"/>
          <w:b/>
          <w:color w:val="000000"/>
          <w:sz w:val="32"/>
          <w:szCs w:val="32"/>
        </w:rPr>
      </w:pPr>
      <w:r>
        <w:rPr>
          <w:rFonts w:hint="eastAsia" w:ascii="楷体" w:hAnsi="楷体" w:eastAsia="楷体"/>
          <w:b/>
          <w:color w:val="000000"/>
          <w:sz w:val="32"/>
          <w:szCs w:val="32"/>
        </w:rPr>
        <w:t>（三）2021年部门预算编制情况。</w:t>
      </w:r>
    </w:p>
    <w:p w14:paraId="1AD9B3B6">
      <w:pPr>
        <w:adjustRightInd w:val="0"/>
        <w:snapToGrid w:val="0"/>
        <w:spacing w:line="560" w:lineRule="exact"/>
        <w:ind w:firstLine="640" w:firstLineChars="200"/>
        <w:rPr>
          <w:rFonts w:ascii="仿宋_GB2312" w:eastAsia="仿宋_GB2312"/>
          <w:color w:val="000000"/>
          <w:kern w:val="0"/>
          <w:sz w:val="32"/>
          <w:szCs w:val="32"/>
        </w:rPr>
      </w:pPr>
      <w:r>
        <w:rPr>
          <w:rFonts w:hint="eastAsia" w:ascii="仿宋_GB2312" w:eastAsia="仿宋_GB2312"/>
          <w:color w:val="000000"/>
          <w:kern w:val="0"/>
          <w:sz w:val="32"/>
          <w:szCs w:val="32"/>
        </w:rPr>
        <w:t>2021年我局预算编制情况良好，符合财政部门关于预算编制的要求和规范， 部门预算编制与部门履职紧密相关，绩效目标的设定覆盖了预算编制、预算执行、资产管理、职责履行、履职效益等方面，绩效目标完整、依据充分、符合实际，绩效指标清晰、细化、可衡量。</w:t>
      </w:r>
    </w:p>
    <w:p w14:paraId="2CD01067">
      <w:pPr>
        <w:numPr>
          <w:ilvl w:val="0"/>
          <w:numId w:val="1"/>
        </w:numPr>
        <w:adjustRightInd w:val="0"/>
        <w:snapToGrid w:val="0"/>
        <w:spacing w:line="560" w:lineRule="exact"/>
        <w:ind w:left="0" w:firstLine="640" w:firstLineChars="200"/>
        <w:rPr>
          <w:rFonts w:ascii="仿宋_GB2312" w:hAnsi="楷体_GB2312" w:eastAsia="仿宋_GB2312" w:cs="楷体_GB2312"/>
          <w:bCs/>
          <w:sz w:val="32"/>
          <w:szCs w:val="32"/>
        </w:rPr>
      </w:pPr>
      <w:r>
        <w:rPr>
          <w:rFonts w:hint="eastAsia" w:ascii="仿宋_GB2312" w:hAnsi="楷体_GB2312" w:eastAsia="仿宋_GB2312" w:cs="楷体_GB2312"/>
          <w:bCs/>
          <w:sz w:val="32"/>
          <w:szCs w:val="32"/>
        </w:rPr>
        <w:t>预算编制情况</w:t>
      </w:r>
    </w:p>
    <w:p w14:paraId="45121D9A">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具体预算安排情况如下表：</w:t>
      </w:r>
    </w:p>
    <w:p w14:paraId="63068325">
      <w:pPr>
        <w:snapToGrid w:val="0"/>
        <w:spacing w:line="590" w:lineRule="exact"/>
        <w:jc w:val="center"/>
        <w:rPr>
          <w:rFonts w:ascii="仿宋_GB2312" w:hAnsi="仿宋_GB2312" w:eastAsia="仿宋_GB2312"/>
          <w:sz w:val="32"/>
          <w:szCs w:val="32"/>
        </w:rPr>
      </w:pP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202</w:t>
      </w:r>
      <w:r>
        <w:rPr>
          <w:rFonts w:hint="eastAsia" w:ascii="仿宋_GB2312" w:hAnsi="仿宋_GB2312" w:eastAsia="仿宋_GB2312" w:cs="仿宋_GB2312"/>
          <w:sz w:val="32"/>
          <w:szCs w:val="32"/>
        </w:rPr>
        <w:t>1年科创局部门预算安排情况</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xml:space="preserve">        </w:t>
      </w:r>
      <w:r>
        <w:rPr>
          <w:rFonts w:ascii="仿宋_GB2312" w:hAnsi="仿宋_GB2312" w:eastAsia="仿宋_GB2312" w:cs="仿宋_GB2312"/>
          <w:sz w:val="32"/>
          <w:szCs w:val="32"/>
        </w:rPr>
        <w:t xml:space="preserve">  </w:t>
      </w:r>
      <w:r>
        <w:rPr>
          <w:rFonts w:hint="eastAsia" w:ascii="仿宋_GB2312" w:hAnsi="仿宋_GB2312" w:eastAsia="仿宋_GB2312" w:cs="仿宋_GB2312"/>
          <w:sz w:val="15"/>
          <w:szCs w:val="15"/>
        </w:rPr>
        <w:t>单位：万元</w:t>
      </w:r>
    </w:p>
    <w:tbl>
      <w:tblPr>
        <w:tblStyle w:val="9"/>
        <w:tblW w:w="4999" w:type="pct"/>
        <w:tblInd w:w="0" w:type="dxa"/>
        <w:tblLayout w:type="fixed"/>
        <w:tblCellMar>
          <w:top w:w="0" w:type="dxa"/>
          <w:left w:w="108" w:type="dxa"/>
          <w:bottom w:w="0" w:type="dxa"/>
          <w:right w:w="108" w:type="dxa"/>
        </w:tblCellMar>
      </w:tblPr>
      <w:tblGrid>
        <w:gridCol w:w="1840"/>
        <w:gridCol w:w="811"/>
        <w:gridCol w:w="286"/>
        <w:gridCol w:w="1411"/>
        <w:gridCol w:w="1253"/>
        <w:gridCol w:w="939"/>
        <w:gridCol w:w="780"/>
        <w:gridCol w:w="939"/>
        <w:gridCol w:w="316"/>
        <w:gridCol w:w="1561"/>
      </w:tblGrid>
      <w:tr w14:paraId="3D0B3540">
        <w:tblPrEx>
          <w:tblCellMar>
            <w:top w:w="0" w:type="dxa"/>
            <w:left w:w="108" w:type="dxa"/>
            <w:bottom w:w="0" w:type="dxa"/>
            <w:right w:w="108" w:type="dxa"/>
          </w:tblCellMar>
        </w:tblPrEx>
        <w:trPr>
          <w:trHeight w:val="397" w:hRule="atLeast"/>
        </w:trPr>
        <w:tc>
          <w:tcPr>
            <w:tcW w:w="1308" w:type="pct"/>
            <w:gridSpan w:val="2"/>
            <w:tcBorders>
              <w:top w:val="single" w:color="auto" w:sz="4" w:space="0"/>
              <w:left w:val="single" w:color="auto" w:sz="4" w:space="0"/>
              <w:bottom w:val="single" w:color="auto" w:sz="4" w:space="0"/>
              <w:right w:val="single" w:color="auto" w:sz="4" w:space="0"/>
            </w:tcBorders>
            <w:shd w:val="clear" w:color="000000" w:fill="92CDDC"/>
            <w:noWrap/>
            <w:vAlign w:val="center"/>
          </w:tcPr>
          <w:p w14:paraId="0BE2195B">
            <w:pPr>
              <w:widowControl/>
              <w:spacing w:line="590" w:lineRule="exact"/>
              <w:jc w:val="center"/>
              <w:rPr>
                <w:rFonts w:ascii="仿宋_GB2312" w:hAnsi="Arial" w:eastAsia="仿宋_GB2312" w:cs="Arial"/>
                <w:b/>
                <w:bCs/>
                <w:color w:val="000000"/>
                <w:kern w:val="0"/>
                <w:szCs w:val="21"/>
              </w:rPr>
            </w:pPr>
            <w:r>
              <w:rPr>
                <w:rFonts w:hint="eastAsia" w:ascii="仿宋_GB2312" w:hAnsi="Arial" w:eastAsia="仿宋_GB2312" w:cs="Arial"/>
                <w:b/>
                <w:bCs/>
                <w:color w:val="000000"/>
                <w:kern w:val="0"/>
                <w:szCs w:val="21"/>
              </w:rPr>
              <w:t>单位名称</w:t>
            </w:r>
          </w:p>
        </w:tc>
        <w:tc>
          <w:tcPr>
            <w:tcW w:w="837" w:type="pct"/>
            <w:gridSpan w:val="2"/>
            <w:tcBorders>
              <w:top w:val="single" w:color="auto" w:sz="4" w:space="0"/>
              <w:left w:val="nil"/>
              <w:bottom w:val="single" w:color="auto" w:sz="4" w:space="0"/>
              <w:right w:val="single" w:color="auto" w:sz="4" w:space="0"/>
            </w:tcBorders>
            <w:shd w:val="clear" w:color="000000" w:fill="92CDDC"/>
            <w:noWrap/>
            <w:vAlign w:val="center"/>
          </w:tcPr>
          <w:p w14:paraId="7BF375A5">
            <w:pPr>
              <w:widowControl/>
              <w:spacing w:line="590" w:lineRule="exact"/>
              <w:jc w:val="center"/>
              <w:rPr>
                <w:rFonts w:ascii="仿宋_GB2312" w:hAnsi="Arial" w:eastAsia="仿宋_GB2312" w:cs="Arial"/>
                <w:b/>
                <w:bCs/>
                <w:color w:val="000000"/>
                <w:kern w:val="0"/>
                <w:szCs w:val="21"/>
              </w:rPr>
            </w:pPr>
            <w:r>
              <w:rPr>
                <w:rFonts w:hint="eastAsia" w:ascii="仿宋_GB2312" w:hAnsi="Arial" w:eastAsia="仿宋_GB2312" w:cs="Arial"/>
                <w:b/>
                <w:bCs/>
                <w:color w:val="000000"/>
                <w:kern w:val="0"/>
                <w:szCs w:val="21"/>
              </w:rPr>
              <w:t>基本支出</w:t>
            </w:r>
          </w:p>
        </w:tc>
        <w:tc>
          <w:tcPr>
            <w:tcW w:w="1081" w:type="pct"/>
            <w:gridSpan w:val="2"/>
            <w:tcBorders>
              <w:top w:val="single" w:color="auto" w:sz="4" w:space="0"/>
              <w:left w:val="nil"/>
              <w:bottom w:val="single" w:color="auto" w:sz="4" w:space="0"/>
              <w:right w:val="single" w:color="auto" w:sz="4" w:space="0"/>
            </w:tcBorders>
            <w:shd w:val="clear" w:color="000000" w:fill="92CDDC"/>
            <w:noWrap/>
            <w:vAlign w:val="center"/>
          </w:tcPr>
          <w:p w14:paraId="45F546FB">
            <w:pPr>
              <w:widowControl/>
              <w:spacing w:line="590" w:lineRule="exact"/>
              <w:jc w:val="center"/>
              <w:rPr>
                <w:rFonts w:ascii="仿宋_GB2312" w:hAnsi="Arial" w:eastAsia="仿宋_GB2312" w:cs="Arial"/>
                <w:b/>
                <w:bCs/>
                <w:color w:val="000000"/>
                <w:kern w:val="0"/>
                <w:szCs w:val="21"/>
              </w:rPr>
            </w:pPr>
            <w:r>
              <w:rPr>
                <w:rFonts w:hint="eastAsia" w:ascii="仿宋_GB2312" w:hAnsi="Arial" w:eastAsia="仿宋_GB2312" w:cs="Arial"/>
                <w:b/>
                <w:bCs/>
                <w:color w:val="000000"/>
                <w:kern w:val="0"/>
                <w:szCs w:val="21"/>
              </w:rPr>
              <w:t>项目支出</w:t>
            </w:r>
          </w:p>
        </w:tc>
        <w:tc>
          <w:tcPr>
            <w:tcW w:w="848" w:type="pct"/>
            <w:gridSpan w:val="2"/>
            <w:tcBorders>
              <w:top w:val="single" w:color="auto" w:sz="4" w:space="0"/>
              <w:left w:val="nil"/>
              <w:bottom w:val="single" w:color="auto" w:sz="4" w:space="0"/>
              <w:right w:val="single" w:color="auto" w:sz="4" w:space="0"/>
            </w:tcBorders>
            <w:shd w:val="clear" w:color="000000" w:fill="92CDDC"/>
            <w:noWrap/>
            <w:vAlign w:val="center"/>
          </w:tcPr>
          <w:p w14:paraId="6DB0F7C1">
            <w:pPr>
              <w:widowControl/>
              <w:spacing w:line="590" w:lineRule="exact"/>
              <w:jc w:val="center"/>
              <w:rPr>
                <w:rFonts w:ascii="仿宋_GB2312" w:hAnsi="Arial" w:eastAsia="仿宋_GB2312" w:cs="Arial"/>
                <w:b/>
                <w:bCs/>
                <w:color w:val="000000"/>
                <w:kern w:val="0"/>
                <w:szCs w:val="21"/>
              </w:rPr>
            </w:pPr>
            <w:r>
              <w:rPr>
                <w:rFonts w:hint="eastAsia" w:ascii="仿宋_GB2312" w:hAnsi="Arial" w:eastAsia="仿宋_GB2312" w:cs="Arial"/>
                <w:b/>
                <w:bCs/>
                <w:color w:val="000000"/>
                <w:kern w:val="0"/>
                <w:szCs w:val="21"/>
              </w:rPr>
              <w:t>合计</w:t>
            </w:r>
          </w:p>
        </w:tc>
        <w:tc>
          <w:tcPr>
            <w:tcW w:w="923" w:type="pct"/>
            <w:gridSpan w:val="2"/>
            <w:tcBorders>
              <w:top w:val="single" w:color="auto" w:sz="4" w:space="0"/>
              <w:left w:val="nil"/>
              <w:bottom w:val="single" w:color="auto" w:sz="4" w:space="0"/>
              <w:right w:val="single" w:color="auto" w:sz="4" w:space="0"/>
            </w:tcBorders>
            <w:shd w:val="clear" w:color="000000" w:fill="92CDDC"/>
            <w:noWrap/>
            <w:vAlign w:val="center"/>
          </w:tcPr>
          <w:p w14:paraId="391D8885">
            <w:pPr>
              <w:widowControl/>
              <w:spacing w:line="590" w:lineRule="exact"/>
              <w:jc w:val="center"/>
              <w:rPr>
                <w:rFonts w:ascii="仿宋_GB2312" w:hAnsi="Arial" w:eastAsia="仿宋_GB2312" w:cs="Arial"/>
                <w:b/>
                <w:bCs/>
                <w:color w:val="000000"/>
                <w:kern w:val="0"/>
                <w:szCs w:val="21"/>
              </w:rPr>
            </w:pPr>
            <w:r>
              <w:rPr>
                <w:rFonts w:hint="eastAsia" w:ascii="仿宋_GB2312" w:hAnsi="Arial" w:eastAsia="仿宋_GB2312" w:cs="Arial"/>
                <w:b/>
                <w:bCs/>
                <w:color w:val="000000"/>
                <w:kern w:val="0"/>
                <w:szCs w:val="21"/>
              </w:rPr>
              <w:t>财政资金比例</w:t>
            </w:r>
          </w:p>
        </w:tc>
      </w:tr>
      <w:tr w14:paraId="52A296DB">
        <w:tblPrEx>
          <w:tblCellMar>
            <w:top w:w="0" w:type="dxa"/>
            <w:left w:w="108" w:type="dxa"/>
            <w:bottom w:w="0" w:type="dxa"/>
            <w:right w:w="108" w:type="dxa"/>
          </w:tblCellMar>
        </w:tblPrEx>
        <w:trPr>
          <w:trHeight w:val="397" w:hRule="atLeast"/>
        </w:trPr>
        <w:tc>
          <w:tcPr>
            <w:tcW w:w="1308" w:type="pct"/>
            <w:gridSpan w:val="2"/>
            <w:tcBorders>
              <w:top w:val="nil"/>
              <w:left w:val="single" w:color="auto" w:sz="4" w:space="0"/>
              <w:bottom w:val="single" w:color="auto" w:sz="4" w:space="0"/>
              <w:right w:val="single" w:color="auto" w:sz="4" w:space="0"/>
            </w:tcBorders>
            <w:noWrap/>
            <w:vAlign w:val="center"/>
          </w:tcPr>
          <w:p w14:paraId="7206B768">
            <w:pPr>
              <w:widowControl/>
              <w:spacing w:line="590" w:lineRule="exact"/>
              <w:jc w:val="center"/>
              <w:rPr>
                <w:rFonts w:ascii="仿宋_GB2312" w:hAnsi="宋体" w:eastAsia="仿宋_GB2312"/>
                <w:kern w:val="0"/>
              </w:rPr>
            </w:pPr>
            <w:r>
              <w:rPr>
                <w:rFonts w:hint="eastAsia" w:ascii="仿宋_GB2312" w:hAnsi="宋体" w:eastAsia="仿宋_GB2312" w:cs="仿宋_GB2312"/>
                <w:kern w:val="0"/>
              </w:rPr>
              <w:t>福田区科创局</w:t>
            </w:r>
          </w:p>
        </w:tc>
        <w:tc>
          <w:tcPr>
            <w:tcW w:w="837" w:type="pct"/>
            <w:gridSpan w:val="2"/>
            <w:tcBorders>
              <w:top w:val="nil"/>
              <w:left w:val="nil"/>
              <w:bottom w:val="single" w:color="auto" w:sz="4" w:space="0"/>
              <w:right w:val="single" w:color="auto" w:sz="4" w:space="0"/>
            </w:tcBorders>
            <w:noWrap/>
            <w:vAlign w:val="center"/>
          </w:tcPr>
          <w:p w14:paraId="06B704D9">
            <w:pPr>
              <w:widowControl/>
              <w:spacing w:line="590" w:lineRule="exact"/>
              <w:jc w:val="center"/>
              <w:textAlignment w:val="bottom"/>
              <w:rPr>
                <w:rFonts w:ascii="Arial" w:hAnsi="Arial" w:cs="Arial"/>
                <w:kern w:val="0"/>
                <w:sz w:val="20"/>
                <w:szCs w:val="20"/>
                <w:lang w:bidi="ar"/>
              </w:rPr>
            </w:pPr>
            <w:r>
              <w:rPr>
                <w:rFonts w:hint="eastAsia" w:ascii="Arial" w:hAnsi="Arial" w:cs="Arial"/>
                <w:kern w:val="0"/>
                <w:sz w:val="20"/>
                <w:szCs w:val="20"/>
                <w:lang w:bidi="ar"/>
              </w:rPr>
              <w:t>681.36</w:t>
            </w:r>
          </w:p>
        </w:tc>
        <w:tc>
          <w:tcPr>
            <w:tcW w:w="1081" w:type="pct"/>
            <w:gridSpan w:val="2"/>
            <w:tcBorders>
              <w:top w:val="nil"/>
              <w:left w:val="nil"/>
              <w:bottom w:val="single" w:color="auto" w:sz="4" w:space="0"/>
              <w:right w:val="single" w:color="auto" w:sz="4" w:space="0"/>
            </w:tcBorders>
            <w:noWrap/>
            <w:vAlign w:val="bottom"/>
          </w:tcPr>
          <w:p w14:paraId="3641BA3F">
            <w:pPr>
              <w:widowControl/>
              <w:spacing w:line="590" w:lineRule="exact"/>
              <w:jc w:val="center"/>
              <w:textAlignment w:val="bottom"/>
              <w:rPr>
                <w:rFonts w:ascii="Arial" w:hAnsi="Arial" w:cs="Arial"/>
                <w:kern w:val="0"/>
                <w:sz w:val="20"/>
                <w:szCs w:val="20"/>
                <w:lang w:bidi="ar"/>
              </w:rPr>
            </w:pPr>
            <w:r>
              <w:rPr>
                <w:rFonts w:ascii="Arial" w:hAnsi="Arial" w:cs="Arial"/>
                <w:kern w:val="0"/>
                <w:sz w:val="20"/>
                <w:szCs w:val="20"/>
                <w:lang w:bidi="ar"/>
              </w:rPr>
              <w:t>42,507.85</w:t>
            </w:r>
          </w:p>
        </w:tc>
        <w:tc>
          <w:tcPr>
            <w:tcW w:w="848" w:type="pct"/>
            <w:gridSpan w:val="2"/>
            <w:tcBorders>
              <w:top w:val="nil"/>
              <w:left w:val="nil"/>
              <w:bottom w:val="single" w:color="auto" w:sz="4" w:space="0"/>
              <w:right w:val="single" w:color="auto" w:sz="4" w:space="0"/>
            </w:tcBorders>
            <w:noWrap/>
            <w:vAlign w:val="bottom"/>
          </w:tcPr>
          <w:p w14:paraId="1292CC52">
            <w:pPr>
              <w:widowControl/>
              <w:spacing w:line="590" w:lineRule="exact"/>
              <w:jc w:val="center"/>
              <w:textAlignment w:val="bottom"/>
              <w:rPr>
                <w:rFonts w:ascii="Arial" w:hAnsi="Arial" w:cs="Arial"/>
                <w:sz w:val="20"/>
                <w:szCs w:val="20"/>
              </w:rPr>
            </w:pPr>
            <w:r>
              <w:rPr>
                <w:rFonts w:ascii="Arial" w:hAnsi="Arial" w:cs="Arial"/>
                <w:kern w:val="0"/>
                <w:sz w:val="20"/>
                <w:szCs w:val="20"/>
                <w:lang w:bidi="ar"/>
              </w:rPr>
              <w:t>43,189.21</w:t>
            </w:r>
          </w:p>
        </w:tc>
        <w:tc>
          <w:tcPr>
            <w:tcW w:w="923" w:type="pct"/>
            <w:gridSpan w:val="2"/>
            <w:tcBorders>
              <w:top w:val="nil"/>
              <w:left w:val="nil"/>
              <w:bottom w:val="single" w:color="auto" w:sz="4" w:space="0"/>
              <w:right w:val="single" w:color="auto" w:sz="4" w:space="0"/>
            </w:tcBorders>
            <w:noWrap/>
            <w:vAlign w:val="center"/>
          </w:tcPr>
          <w:p w14:paraId="24B51991">
            <w:pPr>
              <w:widowControl/>
              <w:spacing w:line="590" w:lineRule="exact"/>
              <w:jc w:val="center"/>
              <w:textAlignment w:val="bottom"/>
              <w:rPr>
                <w:rFonts w:ascii="Arial" w:hAnsi="Arial" w:cs="Arial"/>
                <w:kern w:val="0"/>
                <w:sz w:val="20"/>
                <w:szCs w:val="20"/>
                <w:lang w:bidi="ar"/>
              </w:rPr>
            </w:pPr>
            <w:r>
              <w:rPr>
                <w:rFonts w:hint="eastAsia" w:ascii="Arial" w:hAnsi="Arial" w:cs="Arial"/>
                <w:kern w:val="0"/>
                <w:sz w:val="20"/>
                <w:szCs w:val="20"/>
                <w:lang w:bidi="ar"/>
              </w:rPr>
              <w:t>100%</w:t>
            </w:r>
          </w:p>
        </w:tc>
      </w:tr>
      <w:tr w14:paraId="71D5EFAC">
        <w:tblPrEx>
          <w:tblCellMar>
            <w:top w:w="0" w:type="dxa"/>
            <w:left w:w="108" w:type="dxa"/>
            <w:bottom w:w="0" w:type="dxa"/>
            <w:right w:w="108" w:type="dxa"/>
          </w:tblCellMar>
        </w:tblPrEx>
        <w:trPr>
          <w:trHeight w:val="397" w:hRule="atLeast"/>
        </w:trPr>
        <w:tc>
          <w:tcPr>
            <w:tcW w:w="1308" w:type="pct"/>
            <w:gridSpan w:val="2"/>
            <w:tcBorders>
              <w:top w:val="nil"/>
              <w:left w:val="single" w:color="auto" w:sz="4" w:space="0"/>
              <w:bottom w:val="single" w:color="auto" w:sz="4" w:space="0"/>
              <w:right w:val="single" w:color="auto" w:sz="4" w:space="0"/>
            </w:tcBorders>
            <w:noWrap/>
            <w:vAlign w:val="center"/>
          </w:tcPr>
          <w:p w14:paraId="42823ED4">
            <w:pPr>
              <w:widowControl/>
              <w:spacing w:line="590" w:lineRule="exact"/>
              <w:jc w:val="center"/>
              <w:rPr>
                <w:rFonts w:ascii="仿宋_GB2312" w:hAnsi="宋体" w:eastAsia="仿宋_GB2312"/>
                <w:kern w:val="0"/>
              </w:rPr>
            </w:pPr>
            <w:r>
              <w:rPr>
                <w:rFonts w:hint="eastAsia" w:ascii="仿宋_GB2312" w:hAnsi="宋体" w:eastAsia="仿宋_GB2312" w:cs="仿宋_GB2312"/>
                <w:kern w:val="0"/>
              </w:rPr>
              <w:t>合计</w:t>
            </w:r>
          </w:p>
        </w:tc>
        <w:tc>
          <w:tcPr>
            <w:tcW w:w="837" w:type="pct"/>
            <w:gridSpan w:val="2"/>
            <w:tcBorders>
              <w:top w:val="nil"/>
              <w:left w:val="nil"/>
              <w:bottom w:val="single" w:color="auto" w:sz="4" w:space="0"/>
              <w:right w:val="single" w:color="auto" w:sz="4" w:space="0"/>
            </w:tcBorders>
            <w:noWrap/>
            <w:vAlign w:val="center"/>
          </w:tcPr>
          <w:p w14:paraId="19B11ABE">
            <w:pPr>
              <w:widowControl/>
              <w:spacing w:line="590" w:lineRule="exact"/>
              <w:jc w:val="center"/>
              <w:textAlignment w:val="bottom"/>
              <w:rPr>
                <w:rFonts w:ascii="Arial" w:hAnsi="Arial" w:cs="Arial"/>
                <w:kern w:val="0"/>
                <w:sz w:val="20"/>
                <w:szCs w:val="20"/>
                <w:lang w:bidi="ar"/>
              </w:rPr>
            </w:pPr>
            <w:r>
              <w:rPr>
                <w:rFonts w:hint="eastAsia" w:ascii="Arial" w:hAnsi="Arial" w:cs="Arial"/>
                <w:kern w:val="0"/>
                <w:sz w:val="20"/>
                <w:szCs w:val="20"/>
                <w:lang w:bidi="ar"/>
              </w:rPr>
              <w:t>681.36</w:t>
            </w:r>
          </w:p>
        </w:tc>
        <w:tc>
          <w:tcPr>
            <w:tcW w:w="1081" w:type="pct"/>
            <w:gridSpan w:val="2"/>
            <w:tcBorders>
              <w:top w:val="nil"/>
              <w:left w:val="nil"/>
              <w:bottom w:val="single" w:color="auto" w:sz="4" w:space="0"/>
              <w:right w:val="single" w:color="auto" w:sz="4" w:space="0"/>
            </w:tcBorders>
            <w:noWrap/>
            <w:vAlign w:val="bottom"/>
          </w:tcPr>
          <w:p w14:paraId="3A5BA8B1">
            <w:pPr>
              <w:widowControl/>
              <w:spacing w:line="590" w:lineRule="exact"/>
              <w:jc w:val="center"/>
              <w:textAlignment w:val="bottom"/>
              <w:rPr>
                <w:rFonts w:ascii="Arial" w:hAnsi="Arial" w:cs="Arial"/>
                <w:kern w:val="0"/>
                <w:sz w:val="20"/>
                <w:szCs w:val="20"/>
                <w:lang w:bidi="ar"/>
              </w:rPr>
            </w:pPr>
            <w:r>
              <w:rPr>
                <w:rFonts w:ascii="Arial" w:hAnsi="Arial" w:cs="Arial"/>
                <w:kern w:val="0"/>
                <w:sz w:val="20"/>
                <w:szCs w:val="20"/>
                <w:lang w:bidi="ar"/>
              </w:rPr>
              <w:t>42,507.85</w:t>
            </w:r>
          </w:p>
        </w:tc>
        <w:tc>
          <w:tcPr>
            <w:tcW w:w="848" w:type="pct"/>
            <w:gridSpan w:val="2"/>
            <w:tcBorders>
              <w:top w:val="nil"/>
              <w:left w:val="nil"/>
              <w:bottom w:val="single" w:color="auto" w:sz="4" w:space="0"/>
              <w:right w:val="single" w:color="auto" w:sz="4" w:space="0"/>
            </w:tcBorders>
            <w:noWrap/>
            <w:vAlign w:val="bottom"/>
          </w:tcPr>
          <w:p w14:paraId="69635495">
            <w:pPr>
              <w:widowControl/>
              <w:spacing w:line="590" w:lineRule="exact"/>
              <w:jc w:val="center"/>
              <w:textAlignment w:val="bottom"/>
              <w:rPr>
                <w:rFonts w:ascii="Arial" w:hAnsi="Arial" w:cs="Arial"/>
                <w:sz w:val="20"/>
                <w:szCs w:val="20"/>
              </w:rPr>
            </w:pPr>
            <w:r>
              <w:rPr>
                <w:rFonts w:ascii="Arial" w:hAnsi="Arial" w:cs="Arial"/>
                <w:kern w:val="0"/>
                <w:sz w:val="20"/>
                <w:szCs w:val="20"/>
                <w:lang w:bidi="ar"/>
              </w:rPr>
              <w:t>43,189.21</w:t>
            </w:r>
          </w:p>
        </w:tc>
        <w:tc>
          <w:tcPr>
            <w:tcW w:w="923" w:type="pct"/>
            <w:gridSpan w:val="2"/>
            <w:tcBorders>
              <w:top w:val="nil"/>
              <w:left w:val="nil"/>
              <w:bottom w:val="single" w:color="auto" w:sz="4" w:space="0"/>
              <w:right w:val="single" w:color="auto" w:sz="4" w:space="0"/>
            </w:tcBorders>
            <w:noWrap/>
            <w:vAlign w:val="center"/>
          </w:tcPr>
          <w:p w14:paraId="22B0C082">
            <w:pPr>
              <w:widowControl/>
              <w:spacing w:line="590" w:lineRule="exact"/>
              <w:jc w:val="center"/>
              <w:textAlignment w:val="bottom"/>
              <w:rPr>
                <w:rFonts w:ascii="Arial" w:hAnsi="Arial" w:cs="Arial"/>
                <w:kern w:val="0"/>
                <w:sz w:val="20"/>
                <w:szCs w:val="20"/>
                <w:lang w:bidi="ar"/>
              </w:rPr>
            </w:pPr>
            <w:r>
              <w:rPr>
                <w:rFonts w:hint="eastAsia" w:ascii="Arial" w:hAnsi="Arial" w:cs="Arial"/>
                <w:kern w:val="0"/>
                <w:sz w:val="20"/>
                <w:szCs w:val="20"/>
                <w:lang w:bidi="ar"/>
              </w:rPr>
              <w:t>-</w:t>
            </w:r>
          </w:p>
        </w:tc>
      </w:tr>
      <w:tr w14:paraId="0B1677A0">
        <w:tblPrEx>
          <w:tblCellMar>
            <w:top w:w="0" w:type="dxa"/>
            <w:left w:w="108" w:type="dxa"/>
            <w:bottom w:w="0" w:type="dxa"/>
            <w:right w:w="108" w:type="dxa"/>
          </w:tblCellMar>
        </w:tblPrEx>
        <w:trPr>
          <w:trHeight w:val="397" w:hRule="atLeast"/>
        </w:trPr>
        <w:tc>
          <w:tcPr>
            <w:tcW w:w="5000" w:type="pct"/>
            <w:gridSpan w:val="10"/>
            <w:tcBorders>
              <w:top w:val="nil"/>
              <w:left w:val="nil"/>
              <w:bottom w:val="single" w:color="auto" w:sz="4" w:space="0"/>
              <w:right w:val="nil"/>
            </w:tcBorders>
            <w:noWrap/>
            <w:vAlign w:val="center"/>
          </w:tcPr>
          <w:p w14:paraId="37589F62">
            <w:pPr>
              <w:widowControl/>
              <w:spacing w:line="590" w:lineRule="exact"/>
              <w:jc w:val="center"/>
              <w:rPr>
                <w:rFonts w:ascii="仿宋_GB2312" w:hAnsi="宋体" w:eastAsia="仿宋_GB2312" w:cs="仿宋_GB2312"/>
                <w:kern w:val="0"/>
                <w:sz w:val="32"/>
                <w:szCs w:val="32"/>
              </w:rPr>
            </w:pPr>
            <w:r>
              <w:rPr>
                <w:rFonts w:hint="eastAsia" w:ascii="仿宋_GB2312" w:hAnsi="宋体" w:eastAsia="仿宋_GB2312" w:cs="仿宋_GB2312"/>
                <w:kern w:val="0"/>
                <w:sz w:val="32"/>
                <w:szCs w:val="32"/>
              </w:rPr>
              <w:t xml:space="preserve">       </w:t>
            </w:r>
          </w:p>
          <w:p w14:paraId="5DE73CDB">
            <w:pPr>
              <w:widowControl/>
              <w:spacing w:line="590" w:lineRule="exact"/>
              <w:jc w:val="center"/>
              <w:rPr>
                <w:rFonts w:ascii="仿宋_GB2312" w:hAnsi="宋体" w:eastAsia="仿宋_GB2312"/>
                <w:kern w:val="0"/>
                <w:sz w:val="32"/>
                <w:szCs w:val="32"/>
              </w:rPr>
            </w:pPr>
            <w:r>
              <w:rPr>
                <w:rFonts w:ascii="仿宋_GB2312" w:hAnsi="宋体" w:eastAsia="仿宋_GB2312" w:cs="仿宋_GB2312"/>
                <w:kern w:val="0"/>
                <w:sz w:val="32"/>
                <w:szCs w:val="32"/>
              </w:rPr>
              <w:t xml:space="preserve">       202</w:t>
            </w:r>
            <w:r>
              <w:rPr>
                <w:rFonts w:hint="eastAsia" w:ascii="仿宋_GB2312" w:hAnsi="宋体" w:eastAsia="仿宋_GB2312" w:cs="仿宋_GB2312"/>
                <w:kern w:val="0"/>
                <w:sz w:val="32"/>
                <w:szCs w:val="32"/>
              </w:rPr>
              <w:t xml:space="preserve">1年政府采购项目、“三公”经费预算安排情况     </w:t>
            </w:r>
            <w:r>
              <w:rPr>
                <w:rFonts w:ascii="仿宋_GB2312" w:hAnsi="仿宋_GB2312" w:eastAsia="仿宋_GB2312" w:cs="仿宋_GB2312"/>
                <w:sz w:val="32"/>
                <w:szCs w:val="32"/>
              </w:rPr>
              <w:t xml:space="preserve"> </w:t>
            </w:r>
            <w:r>
              <w:rPr>
                <w:rFonts w:hint="eastAsia" w:ascii="仿宋_GB2312" w:hAnsi="仿宋_GB2312" w:eastAsia="仿宋_GB2312" w:cs="仿宋_GB2312"/>
                <w:sz w:val="15"/>
                <w:szCs w:val="15"/>
              </w:rPr>
              <w:t>单位：万元</w:t>
            </w:r>
          </w:p>
        </w:tc>
      </w:tr>
      <w:tr w14:paraId="64A4481D">
        <w:tblPrEx>
          <w:tblCellMar>
            <w:top w:w="0" w:type="dxa"/>
            <w:left w:w="108" w:type="dxa"/>
            <w:bottom w:w="0" w:type="dxa"/>
            <w:right w:w="108" w:type="dxa"/>
          </w:tblCellMar>
        </w:tblPrEx>
        <w:trPr>
          <w:trHeight w:val="397" w:hRule="atLeast"/>
        </w:trPr>
        <w:tc>
          <w:tcPr>
            <w:tcW w:w="908" w:type="pct"/>
            <w:tcBorders>
              <w:top w:val="nil"/>
              <w:left w:val="single" w:color="auto" w:sz="4" w:space="0"/>
              <w:bottom w:val="single" w:color="auto" w:sz="4" w:space="0"/>
              <w:right w:val="single" w:color="auto" w:sz="4" w:space="0"/>
            </w:tcBorders>
            <w:shd w:val="clear" w:color="000000" w:fill="92CDDC"/>
            <w:noWrap/>
            <w:vAlign w:val="center"/>
          </w:tcPr>
          <w:p w14:paraId="77F7F556">
            <w:pPr>
              <w:widowControl/>
              <w:spacing w:line="590" w:lineRule="exact"/>
              <w:jc w:val="center"/>
              <w:rPr>
                <w:rFonts w:ascii="仿宋_GB2312" w:hAnsi="宋体" w:eastAsia="仿宋_GB2312"/>
                <w:kern w:val="0"/>
              </w:rPr>
            </w:pPr>
            <w:r>
              <w:rPr>
                <w:rFonts w:hint="eastAsia" w:ascii="仿宋_GB2312" w:hAnsi="宋体" w:eastAsia="仿宋_GB2312" w:cs="仿宋_GB2312"/>
                <w:kern w:val="0"/>
              </w:rPr>
              <w:t>单位名称</w:t>
            </w:r>
          </w:p>
        </w:tc>
        <w:tc>
          <w:tcPr>
            <w:tcW w:w="541" w:type="pct"/>
            <w:gridSpan w:val="2"/>
            <w:tcBorders>
              <w:top w:val="nil"/>
              <w:left w:val="nil"/>
              <w:bottom w:val="single" w:color="auto" w:sz="4" w:space="0"/>
              <w:right w:val="single" w:color="auto" w:sz="4" w:space="0"/>
            </w:tcBorders>
            <w:shd w:val="clear" w:color="000000" w:fill="92CDDC"/>
            <w:noWrap/>
            <w:vAlign w:val="center"/>
          </w:tcPr>
          <w:p w14:paraId="7E8BD7A1">
            <w:pPr>
              <w:widowControl/>
              <w:spacing w:line="590" w:lineRule="exact"/>
              <w:jc w:val="center"/>
              <w:rPr>
                <w:rFonts w:ascii="仿宋_GB2312" w:hAnsi="宋体" w:eastAsia="仿宋_GB2312"/>
                <w:kern w:val="0"/>
              </w:rPr>
            </w:pPr>
            <w:r>
              <w:rPr>
                <w:rFonts w:hint="eastAsia" w:ascii="仿宋_GB2312" w:hAnsi="宋体" w:eastAsia="仿宋_GB2312" w:cs="仿宋_GB2312"/>
                <w:kern w:val="0"/>
              </w:rPr>
              <w:t>政府采购</w:t>
            </w:r>
          </w:p>
        </w:tc>
        <w:tc>
          <w:tcPr>
            <w:tcW w:w="696" w:type="pct"/>
            <w:tcBorders>
              <w:top w:val="nil"/>
              <w:left w:val="nil"/>
              <w:bottom w:val="single" w:color="auto" w:sz="4" w:space="0"/>
              <w:right w:val="single" w:color="auto" w:sz="4" w:space="0"/>
            </w:tcBorders>
            <w:shd w:val="clear" w:color="000000" w:fill="92CDDC"/>
            <w:noWrap/>
            <w:vAlign w:val="center"/>
          </w:tcPr>
          <w:p w14:paraId="55DC3133">
            <w:pPr>
              <w:widowControl/>
              <w:spacing w:line="590" w:lineRule="exact"/>
              <w:jc w:val="center"/>
              <w:rPr>
                <w:rFonts w:ascii="仿宋_GB2312" w:hAnsi="宋体" w:eastAsia="仿宋_GB2312"/>
                <w:kern w:val="0"/>
              </w:rPr>
            </w:pPr>
            <w:r>
              <w:rPr>
                <w:rFonts w:hint="eastAsia" w:ascii="仿宋_GB2312" w:hAnsi="宋体" w:eastAsia="仿宋_GB2312" w:cs="仿宋_GB2312"/>
                <w:kern w:val="0"/>
              </w:rPr>
              <w:t>公务接待费</w:t>
            </w:r>
          </w:p>
        </w:tc>
        <w:tc>
          <w:tcPr>
            <w:tcW w:w="618" w:type="pct"/>
            <w:tcBorders>
              <w:top w:val="nil"/>
              <w:left w:val="nil"/>
              <w:bottom w:val="single" w:color="auto" w:sz="4" w:space="0"/>
              <w:right w:val="single" w:color="auto" w:sz="4" w:space="0"/>
            </w:tcBorders>
            <w:shd w:val="clear" w:color="000000" w:fill="92CDDC"/>
            <w:vAlign w:val="center"/>
          </w:tcPr>
          <w:p w14:paraId="7B585926">
            <w:pPr>
              <w:widowControl/>
              <w:spacing w:line="590" w:lineRule="exact"/>
              <w:jc w:val="center"/>
              <w:rPr>
                <w:rFonts w:ascii="仿宋_GB2312" w:hAnsi="宋体" w:eastAsia="仿宋_GB2312"/>
                <w:kern w:val="0"/>
              </w:rPr>
            </w:pPr>
            <w:r>
              <w:rPr>
                <w:rFonts w:hint="eastAsia" w:ascii="仿宋_GB2312" w:hAnsi="宋体" w:eastAsia="仿宋_GB2312" w:cs="仿宋_GB2312"/>
                <w:kern w:val="0"/>
              </w:rPr>
              <w:t>因公出国（境）费</w:t>
            </w:r>
          </w:p>
        </w:tc>
        <w:tc>
          <w:tcPr>
            <w:tcW w:w="848" w:type="pct"/>
            <w:gridSpan w:val="2"/>
            <w:tcBorders>
              <w:top w:val="nil"/>
              <w:left w:val="nil"/>
              <w:bottom w:val="single" w:color="auto" w:sz="4" w:space="0"/>
              <w:right w:val="single" w:color="auto" w:sz="4" w:space="0"/>
            </w:tcBorders>
            <w:shd w:val="clear" w:color="000000" w:fill="92CDDC"/>
            <w:vAlign w:val="center"/>
          </w:tcPr>
          <w:p w14:paraId="07610F07">
            <w:pPr>
              <w:widowControl/>
              <w:spacing w:line="590" w:lineRule="exact"/>
              <w:jc w:val="center"/>
              <w:rPr>
                <w:rFonts w:ascii="仿宋_GB2312" w:hAnsi="宋体" w:eastAsia="仿宋_GB2312"/>
                <w:kern w:val="0"/>
              </w:rPr>
            </w:pPr>
            <w:r>
              <w:rPr>
                <w:rFonts w:hint="eastAsia" w:ascii="仿宋_GB2312" w:hAnsi="宋体" w:eastAsia="仿宋_GB2312" w:cs="仿宋_GB2312"/>
                <w:kern w:val="0"/>
              </w:rPr>
              <w:t>公务用车运行维护费</w:t>
            </w:r>
          </w:p>
        </w:tc>
        <w:tc>
          <w:tcPr>
            <w:tcW w:w="619" w:type="pct"/>
            <w:gridSpan w:val="2"/>
            <w:tcBorders>
              <w:top w:val="nil"/>
              <w:left w:val="nil"/>
              <w:bottom w:val="single" w:color="auto" w:sz="4" w:space="0"/>
              <w:right w:val="single" w:color="auto" w:sz="4" w:space="0"/>
            </w:tcBorders>
            <w:shd w:val="clear" w:color="000000" w:fill="92CDDC"/>
            <w:vAlign w:val="center"/>
          </w:tcPr>
          <w:p w14:paraId="318A3BB6">
            <w:pPr>
              <w:widowControl/>
              <w:spacing w:line="590" w:lineRule="exact"/>
              <w:jc w:val="center"/>
              <w:rPr>
                <w:rFonts w:ascii="仿宋_GB2312" w:hAnsi="宋体" w:eastAsia="仿宋_GB2312"/>
                <w:kern w:val="0"/>
              </w:rPr>
            </w:pPr>
            <w:r>
              <w:rPr>
                <w:rFonts w:hint="eastAsia" w:ascii="仿宋_GB2312" w:hAnsi="宋体" w:eastAsia="仿宋_GB2312" w:cs="仿宋_GB2312"/>
                <w:kern w:val="0"/>
              </w:rPr>
              <w:t>“三公”经费小计</w:t>
            </w:r>
          </w:p>
        </w:tc>
        <w:tc>
          <w:tcPr>
            <w:tcW w:w="768" w:type="pct"/>
            <w:tcBorders>
              <w:top w:val="nil"/>
              <w:left w:val="nil"/>
              <w:bottom w:val="single" w:color="auto" w:sz="4" w:space="0"/>
              <w:right w:val="single" w:color="auto" w:sz="4" w:space="0"/>
            </w:tcBorders>
            <w:shd w:val="clear" w:color="000000" w:fill="92CDDC"/>
            <w:noWrap/>
            <w:vAlign w:val="center"/>
          </w:tcPr>
          <w:p w14:paraId="1F21897D">
            <w:pPr>
              <w:widowControl/>
              <w:spacing w:line="590" w:lineRule="exact"/>
              <w:jc w:val="center"/>
              <w:rPr>
                <w:rFonts w:ascii="仿宋_GB2312" w:hAnsi="宋体" w:eastAsia="仿宋_GB2312"/>
                <w:kern w:val="0"/>
              </w:rPr>
            </w:pPr>
            <w:r>
              <w:rPr>
                <w:rFonts w:hint="eastAsia" w:ascii="仿宋_GB2312" w:hAnsi="宋体" w:eastAsia="仿宋_GB2312" w:cs="仿宋_GB2312"/>
                <w:kern w:val="0"/>
              </w:rPr>
              <w:t>合计</w:t>
            </w:r>
          </w:p>
        </w:tc>
      </w:tr>
      <w:tr w14:paraId="01489BCF">
        <w:tblPrEx>
          <w:tblCellMar>
            <w:top w:w="0" w:type="dxa"/>
            <w:left w:w="108" w:type="dxa"/>
            <w:bottom w:w="0" w:type="dxa"/>
            <w:right w:w="108" w:type="dxa"/>
          </w:tblCellMar>
        </w:tblPrEx>
        <w:trPr>
          <w:trHeight w:val="397" w:hRule="atLeast"/>
        </w:trPr>
        <w:tc>
          <w:tcPr>
            <w:tcW w:w="908" w:type="pct"/>
            <w:tcBorders>
              <w:top w:val="nil"/>
              <w:left w:val="single" w:color="auto" w:sz="4" w:space="0"/>
              <w:bottom w:val="single" w:color="auto" w:sz="4" w:space="0"/>
              <w:right w:val="single" w:color="auto" w:sz="4" w:space="0"/>
            </w:tcBorders>
            <w:noWrap/>
            <w:vAlign w:val="center"/>
          </w:tcPr>
          <w:p w14:paraId="0D6F7A39">
            <w:pPr>
              <w:widowControl/>
              <w:spacing w:line="590" w:lineRule="exact"/>
              <w:jc w:val="center"/>
              <w:rPr>
                <w:rFonts w:ascii="仿宋_GB2312" w:hAnsi="宋体" w:eastAsia="仿宋_GB2312"/>
                <w:kern w:val="0"/>
              </w:rPr>
            </w:pPr>
            <w:r>
              <w:rPr>
                <w:rFonts w:hint="eastAsia" w:ascii="仿宋_GB2312" w:hAnsi="宋体" w:eastAsia="仿宋_GB2312" w:cs="仿宋_GB2312"/>
                <w:kern w:val="0"/>
              </w:rPr>
              <w:t>福田区科创局</w:t>
            </w:r>
          </w:p>
        </w:tc>
        <w:tc>
          <w:tcPr>
            <w:tcW w:w="541" w:type="pct"/>
            <w:gridSpan w:val="2"/>
            <w:tcBorders>
              <w:top w:val="nil"/>
              <w:left w:val="nil"/>
              <w:bottom w:val="single" w:color="auto" w:sz="4" w:space="0"/>
              <w:right w:val="single" w:color="auto" w:sz="4" w:space="0"/>
            </w:tcBorders>
            <w:noWrap/>
            <w:vAlign w:val="bottom"/>
          </w:tcPr>
          <w:p w14:paraId="08B08F96">
            <w:pPr>
              <w:widowControl/>
              <w:spacing w:line="590" w:lineRule="exact"/>
              <w:jc w:val="center"/>
              <w:textAlignment w:val="bottom"/>
              <w:rPr>
                <w:rFonts w:ascii="Arial" w:hAnsi="Arial" w:cs="Arial"/>
                <w:sz w:val="20"/>
                <w:szCs w:val="20"/>
              </w:rPr>
            </w:pPr>
            <w:r>
              <w:rPr>
                <w:rFonts w:hint="eastAsia" w:ascii="Arial" w:hAnsi="Arial" w:cs="Arial"/>
                <w:sz w:val="20"/>
                <w:szCs w:val="20"/>
              </w:rPr>
              <w:t>7.30</w:t>
            </w:r>
          </w:p>
        </w:tc>
        <w:tc>
          <w:tcPr>
            <w:tcW w:w="696" w:type="pct"/>
            <w:tcBorders>
              <w:top w:val="nil"/>
              <w:left w:val="nil"/>
              <w:bottom w:val="single" w:color="auto" w:sz="4" w:space="0"/>
              <w:right w:val="single" w:color="auto" w:sz="4" w:space="0"/>
            </w:tcBorders>
            <w:noWrap/>
            <w:vAlign w:val="center"/>
          </w:tcPr>
          <w:p w14:paraId="78812DC7">
            <w:pPr>
              <w:widowControl/>
              <w:spacing w:line="590" w:lineRule="exact"/>
              <w:jc w:val="center"/>
              <w:textAlignment w:val="bottom"/>
              <w:rPr>
                <w:rFonts w:ascii="Arial" w:hAnsi="Arial" w:cs="Arial"/>
                <w:kern w:val="0"/>
                <w:sz w:val="20"/>
                <w:szCs w:val="20"/>
                <w:lang w:bidi="ar"/>
              </w:rPr>
            </w:pPr>
            <w:r>
              <w:rPr>
                <w:rFonts w:hint="eastAsia" w:ascii="Arial" w:hAnsi="Arial" w:cs="Arial"/>
                <w:kern w:val="0"/>
                <w:sz w:val="20"/>
                <w:szCs w:val="20"/>
                <w:lang w:bidi="ar"/>
              </w:rPr>
              <w:t>5.00</w:t>
            </w:r>
          </w:p>
        </w:tc>
        <w:tc>
          <w:tcPr>
            <w:tcW w:w="618" w:type="pct"/>
            <w:tcBorders>
              <w:top w:val="nil"/>
              <w:left w:val="nil"/>
              <w:bottom w:val="single" w:color="auto" w:sz="4" w:space="0"/>
              <w:right w:val="single" w:color="auto" w:sz="4" w:space="0"/>
            </w:tcBorders>
            <w:noWrap/>
            <w:vAlign w:val="center"/>
          </w:tcPr>
          <w:p w14:paraId="0EC625A7">
            <w:pPr>
              <w:widowControl/>
              <w:spacing w:line="590" w:lineRule="exact"/>
              <w:jc w:val="center"/>
              <w:textAlignment w:val="bottom"/>
              <w:rPr>
                <w:rFonts w:ascii="Arial" w:hAnsi="Arial" w:cs="Arial"/>
                <w:kern w:val="0"/>
                <w:sz w:val="20"/>
                <w:szCs w:val="20"/>
                <w:lang w:bidi="ar"/>
              </w:rPr>
            </w:pPr>
            <w:r>
              <w:rPr>
                <w:rFonts w:hint="eastAsia" w:ascii="Arial" w:hAnsi="Arial" w:cs="Arial"/>
                <w:kern w:val="0"/>
                <w:sz w:val="20"/>
                <w:szCs w:val="20"/>
                <w:lang w:bidi="ar"/>
              </w:rPr>
              <w:t>0.00</w:t>
            </w:r>
          </w:p>
        </w:tc>
        <w:tc>
          <w:tcPr>
            <w:tcW w:w="848" w:type="pct"/>
            <w:gridSpan w:val="2"/>
            <w:tcBorders>
              <w:top w:val="nil"/>
              <w:left w:val="nil"/>
              <w:bottom w:val="single" w:color="auto" w:sz="4" w:space="0"/>
              <w:right w:val="single" w:color="auto" w:sz="4" w:space="0"/>
            </w:tcBorders>
            <w:noWrap/>
            <w:vAlign w:val="bottom"/>
          </w:tcPr>
          <w:p w14:paraId="629F42F8">
            <w:pPr>
              <w:widowControl/>
              <w:spacing w:line="590" w:lineRule="exact"/>
              <w:jc w:val="center"/>
              <w:textAlignment w:val="bottom"/>
              <w:rPr>
                <w:rFonts w:ascii="Arial" w:hAnsi="Arial" w:cs="Arial"/>
                <w:kern w:val="0"/>
                <w:sz w:val="20"/>
                <w:szCs w:val="20"/>
                <w:lang w:bidi="ar"/>
              </w:rPr>
            </w:pPr>
            <w:r>
              <w:rPr>
                <w:rFonts w:ascii="Arial" w:hAnsi="Arial" w:cs="Arial"/>
                <w:kern w:val="0"/>
                <w:sz w:val="20"/>
                <w:szCs w:val="20"/>
                <w:lang w:bidi="ar"/>
              </w:rPr>
              <w:t>3.67</w:t>
            </w:r>
          </w:p>
        </w:tc>
        <w:tc>
          <w:tcPr>
            <w:tcW w:w="619" w:type="pct"/>
            <w:gridSpan w:val="2"/>
            <w:tcBorders>
              <w:top w:val="nil"/>
              <w:left w:val="nil"/>
              <w:bottom w:val="single" w:color="auto" w:sz="4" w:space="0"/>
              <w:right w:val="single" w:color="auto" w:sz="4" w:space="0"/>
            </w:tcBorders>
            <w:noWrap/>
            <w:vAlign w:val="bottom"/>
          </w:tcPr>
          <w:p w14:paraId="12D912FE">
            <w:pPr>
              <w:widowControl/>
              <w:spacing w:line="590" w:lineRule="exact"/>
              <w:jc w:val="center"/>
              <w:textAlignment w:val="bottom"/>
              <w:rPr>
                <w:rFonts w:ascii="Arial" w:hAnsi="Arial" w:cs="Arial"/>
                <w:kern w:val="0"/>
                <w:sz w:val="20"/>
                <w:szCs w:val="20"/>
                <w:lang w:bidi="ar"/>
              </w:rPr>
            </w:pPr>
            <w:r>
              <w:rPr>
                <w:rFonts w:ascii="Arial" w:hAnsi="Arial" w:cs="Arial"/>
                <w:kern w:val="0"/>
                <w:sz w:val="20"/>
                <w:szCs w:val="20"/>
                <w:lang w:bidi="ar"/>
              </w:rPr>
              <w:t>8.67</w:t>
            </w:r>
          </w:p>
        </w:tc>
        <w:tc>
          <w:tcPr>
            <w:tcW w:w="768" w:type="pct"/>
            <w:tcBorders>
              <w:top w:val="nil"/>
              <w:left w:val="nil"/>
              <w:bottom w:val="single" w:color="auto" w:sz="4" w:space="0"/>
              <w:right w:val="single" w:color="auto" w:sz="4" w:space="0"/>
            </w:tcBorders>
            <w:noWrap/>
            <w:vAlign w:val="center"/>
          </w:tcPr>
          <w:p w14:paraId="2CBA4728">
            <w:pPr>
              <w:widowControl/>
              <w:spacing w:line="590" w:lineRule="exact"/>
              <w:jc w:val="center"/>
              <w:textAlignment w:val="bottom"/>
              <w:rPr>
                <w:rFonts w:ascii="Arial" w:hAnsi="Arial" w:cs="Arial"/>
                <w:kern w:val="0"/>
                <w:sz w:val="20"/>
                <w:szCs w:val="20"/>
                <w:lang w:bidi="ar"/>
              </w:rPr>
            </w:pPr>
            <w:r>
              <w:rPr>
                <w:rFonts w:hint="eastAsia" w:ascii="Arial" w:hAnsi="Arial" w:cs="Arial"/>
                <w:kern w:val="0"/>
                <w:sz w:val="20"/>
                <w:szCs w:val="20"/>
                <w:lang w:bidi="ar"/>
              </w:rPr>
              <w:t>24.64</w:t>
            </w:r>
          </w:p>
        </w:tc>
      </w:tr>
      <w:tr w14:paraId="7C0FFE46">
        <w:tblPrEx>
          <w:tblCellMar>
            <w:top w:w="0" w:type="dxa"/>
            <w:left w:w="108" w:type="dxa"/>
            <w:bottom w:w="0" w:type="dxa"/>
            <w:right w:w="108" w:type="dxa"/>
          </w:tblCellMar>
        </w:tblPrEx>
        <w:trPr>
          <w:trHeight w:val="397" w:hRule="atLeast"/>
        </w:trPr>
        <w:tc>
          <w:tcPr>
            <w:tcW w:w="908" w:type="pct"/>
            <w:tcBorders>
              <w:top w:val="nil"/>
              <w:left w:val="single" w:color="auto" w:sz="4" w:space="0"/>
              <w:bottom w:val="single" w:color="auto" w:sz="4" w:space="0"/>
              <w:right w:val="single" w:color="auto" w:sz="4" w:space="0"/>
            </w:tcBorders>
            <w:noWrap/>
            <w:vAlign w:val="center"/>
          </w:tcPr>
          <w:p w14:paraId="598DF23F">
            <w:pPr>
              <w:widowControl/>
              <w:spacing w:line="590" w:lineRule="exact"/>
              <w:jc w:val="center"/>
              <w:rPr>
                <w:rFonts w:ascii="仿宋_GB2312" w:hAnsi="宋体" w:eastAsia="仿宋_GB2312"/>
                <w:kern w:val="0"/>
              </w:rPr>
            </w:pPr>
            <w:r>
              <w:rPr>
                <w:rFonts w:hint="eastAsia" w:ascii="仿宋_GB2312" w:hAnsi="宋体" w:eastAsia="仿宋_GB2312" w:cs="仿宋_GB2312"/>
                <w:kern w:val="0"/>
              </w:rPr>
              <w:t>合计</w:t>
            </w:r>
          </w:p>
        </w:tc>
        <w:tc>
          <w:tcPr>
            <w:tcW w:w="541" w:type="pct"/>
            <w:gridSpan w:val="2"/>
            <w:tcBorders>
              <w:top w:val="nil"/>
              <w:left w:val="nil"/>
              <w:bottom w:val="single" w:color="auto" w:sz="4" w:space="0"/>
              <w:right w:val="single" w:color="auto" w:sz="4" w:space="0"/>
            </w:tcBorders>
            <w:noWrap/>
            <w:vAlign w:val="bottom"/>
          </w:tcPr>
          <w:p w14:paraId="35932E82">
            <w:pPr>
              <w:widowControl/>
              <w:spacing w:line="590" w:lineRule="exact"/>
              <w:jc w:val="center"/>
              <w:textAlignment w:val="bottom"/>
              <w:rPr>
                <w:rFonts w:ascii="Arial" w:hAnsi="Arial" w:cs="Arial"/>
                <w:sz w:val="20"/>
                <w:szCs w:val="20"/>
              </w:rPr>
            </w:pPr>
            <w:r>
              <w:rPr>
                <w:rFonts w:hint="eastAsia" w:ascii="Arial" w:hAnsi="Arial" w:cs="Arial"/>
                <w:sz w:val="20"/>
                <w:szCs w:val="20"/>
              </w:rPr>
              <w:t>7.30</w:t>
            </w:r>
          </w:p>
        </w:tc>
        <w:tc>
          <w:tcPr>
            <w:tcW w:w="696" w:type="pct"/>
            <w:tcBorders>
              <w:top w:val="nil"/>
              <w:left w:val="nil"/>
              <w:bottom w:val="single" w:color="auto" w:sz="4" w:space="0"/>
              <w:right w:val="single" w:color="auto" w:sz="4" w:space="0"/>
            </w:tcBorders>
            <w:noWrap/>
            <w:vAlign w:val="center"/>
          </w:tcPr>
          <w:p w14:paraId="6A6C0B70">
            <w:pPr>
              <w:widowControl/>
              <w:spacing w:line="590" w:lineRule="exact"/>
              <w:jc w:val="center"/>
              <w:textAlignment w:val="bottom"/>
              <w:rPr>
                <w:rFonts w:ascii="Arial" w:hAnsi="Arial" w:cs="Arial"/>
                <w:kern w:val="0"/>
                <w:sz w:val="20"/>
                <w:szCs w:val="20"/>
                <w:lang w:bidi="ar"/>
              </w:rPr>
            </w:pPr>
            <w:r>
              <w:rPr>
                <w:rFonts w:hint="eastAsia" w:ascii="Arial" w:hAnsi="Arial" w:cs="Arial"/>
                <w:kern w:val="0"/>
                <w:sz w:val="20"/>
                <w:szCs w:val="20"/>
                <w:lang w:bidi="ar"/>
              </w:rPr>
              <w:t>5.00</w:t>
            </w:r>
          </w:p>
        </w:tc>
        <w:tc>
          <w:tcPr>
            <w:tcW w:w="618" w:type="pct"/>
            <w:tcBorders>
              <w:top w:val="nil"/>
              <w:left w:val="nil"/>
              <w:bottom w:val="single" w:color="auto" w:sz="4" w:space="0"/>
              <w:right w:val="single" w:color="auto" w:sz="4" w:space="0"/>
            </w:tcBorders>
            <w:noWrap/>
            <w:vAlign w:val="center"/>
          </w:tcPr>
          <w:p w14:paraId="4DFFBC33">
            <w:pPr>
              <w:widowControl/>
              <w:spacing w:line="590" w:lineRule="exact"/>
              <w:jc w:val="center"/>
              <w:textAlignment w:val="bottom"/>
              <w:rPr>
                <w:rFonts w:ascii="Arial" w:hAnsi="Arial" w:cs="Arial"/>
                <w:kern w:val="0"/>
                <w:sz w:val="20"/>
                <w:szCs w:val="20"/>
                <w:lang w:bidi="ar"/>
              </w:rPr>
            </w:pPr>
            <w:r>
              <w:rPr>
                <w:rFonts w:hint="eastAsia" w:ascii="Arial" w:hAnsi="Arial" w:cs="Arial"/>
                <w:kern w:val="0"/>
                <w:sz w:val="20"/>
                <w:szCs w:val="20"/>
                <w:lang w:bidi="ar"/>
              </w:rPr>
              <w:t>0.00</w:t>
            </w:r>
          </w:p>
        </w:tc>
        <w:tc>
          <w:tcPr>
            <w:tcW w:w="848" w:type="pct"/>
            <w:gridSpan w:val="2"/>
            <w:tcBorders>
              <w:top w:val="nil"/>
              <w:left w:val="nil"/>
              <w:bottom w:val="single" w:color="auto" w:sz="4" w:space="0"/>
              <w:right w:val="single" w:color="auto" w:sz="4" w:space="0"/>
            </w:tcBorders>
            <w:noWrap/>
            <w:vAlign w:val="bottom"/>
          </w:tcPr>
          <w:p w14:paraId="66E3DBAC">
            <w:pPr>
              <w:widowControl/>
              <w:spacing w:line="590" w:lineRule="exact"/>
              <w:jc w:val="center"/>
              <w:textAlignment w:val="bottom"/>
              <w:rPr>
                <w:rFonts w:ascii="Arial" w:hAnsi="Arial" w:cs="Arial"/>
                <w:kern w:val="0"/>
                <w:sz w:val="20"/>
                <w:szCs w:val="20"/>
                <w:lang w:bidi="ar"/>
              </w:rPr>
            </w:pPr>
            <w:r>
              <w:rPr>
                <w:rFonts w:ascii="Arial" w:hAnsi="Arial" w:cs="Arial"/>
                <w:kern w:val="0"/>
                <w:sz w:val="20"/>
                <w:szCs w:val="20"/>
                <w:lang w:bidi="ar"/>
              </w:rPr>
              <w:t>3.67</w:t>
            </w:r>
          </w:p>
        </w:tc>
        <w:tc>
          <w:tcPr>
            <w:tcW w:w="619" w:type="pct"/>
            <w:gridSpan w:val="2"/>
            <w:tcBorders>
              <w:top w:val="nil"/>
              <w:left w:val="nil"/>
              <w:bottom w:val="single" w:color="auto" w:sz="4" w:space="0"/>
              <w:right w:val="single" w:color="auto" w:sz="4" w:space="0"/>
            </w:tcBorders>
            <w:noWrap/>
            <w:vAlign w:val="bottom"/>
          </w:tcPr>
          <w:p w14:paraId="4E6F4BF2">
            <w:pPr>
              <w:widowControl/>
              <w:spacing w:line="590" w:lineRule="exact"/>
              <w:jc w:val="center"/>
              <w:textAlignment w:val="bottom"/>
              <w:rPr>
                <w:rFonts w:ascii="Arial" w:hAnsi="Arial" w:cs="Arial"/>
                <w:kern w:val="0"/>
                <w:sz w:val="20"/>
                <w:szCs w:val="20"/>
                <w:lang w:bidi="ar"/>
              </w:rPr>
            </w:pPr>
            <w:r>
              <w:rPr>
                <w:rFonts w:ascii="Arial" w:hAnsi="Arial" w:cs="Arial"/>
                <w:kern w:val="0"/>
                <w:sz w:val="20"/>
                <w:szCs w:val="20"/>
                <w:lang w:bidi="ar"/>
              </w:rPr>
              <w:t>8.67</w:t>
            </w:r>
          </w:p>
        </w:tc>
        <w:tc>
          <w:tcPr>
            <w:tcW w:w="768" w:type="pct"/>
            <w:tcBorders>
              <w:top w:val="nil"/>
              <w:left w:val="nil"/>
              <w:bottom w:val="single" w:color="auto" w:sz="4" w:space="0"/>
              <w:right w:val="single" w:color="auto" w:sz="4" w:space="0"/>
            </w:tcBorders>
            <w:noWrap/>
            <w:vAlign w:val="center"/>
          </w:tcPr>
          <w:p w14:paraId="1EC1636D">
            <w:pPr>
              <w:widowControl/>
              <w:spacing w:line="590" w:lineRule="exact"/>
              <w:jc w:val="center"/>
              <w:textAlignment w:val="bottom"/>
              <w:rPr>
                <w:rFonts w:ascii="Arial" w:hAnsi="Arial" w:cs="Arial"/>
                <w:kern w:val="0"/>
                <w:sz w:val="20"/>
                <w:szCs w:val="20"/>
                <w:lang w:bidi="ar"/>
              </w:rPr>
            </w:pPr>
            <w:r>
              <w:rPr>
                <w:rFonts w:hint="eastAsia" w:ascii="Arial" w:hAnsi="Arial" w:cs="Arial"/>
                <w:kern w:val="0"/>
                <w:sz w:val="20"/>
                <w:szCs w:val="20"/>
                <w:lang w:bidi="ar"/>
              </w:rPr>
              <w:t>24.64</w:t>
            </w:r>
          </w:p>
        </w:tc>
      </w:tr>
    </w:tbl>
    <w:p w14:paraId="0C9AADAE">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2021年科创局部门预算收入43,189.21万元，比2020年增加 1,607.45万元，增长3.87%，其中：财政预算拨款43,189.21万元。2020年科创局部门预算支出43,189.21万元，比2019年增加1,607.45万元，增长3.87%。其中：人员支出642.21万元、公用支出39.15万元、离退休人员支出22.33万元、项目支出42,507.85万元。</w:t>
      </w:r>
    </w:p>
    <w:p w14:paraId="2505B591">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预算收支增加主要原因说明:1.区产业发展专项资金-支持科技创新局发展若干政策的扶持资金发放等工作事项，导致相关经费增加；2.2021年需推动福田区科技时尚大街的发展，通过科技活动来提升福田区的科技文化氛围的工作事项,导致相关经费增加；3.为提高辖区国高企业数量及质量，国高企业培育，导致相关经费增加；4.编制人员增加，导致相关经费增加等。</w:t>
      </w:r>
    </w:p>
    <w:p w14:paraId="67134ED8">
      <w:pPr>
        <w:pStyle w:val="4"/>
        <w:adjustRightInd w:val="0"/>
        <w:snapToGrid w:val="0"/>
        <w:spacing w:before="0" w:after="0" w:line="560" w:lineRule="exact"/>
        <w:ind w:firstLine="640" w:firstLineChars="200"/>
        <w:rPr>
          <w:rFonts w:ascii="仿宋_GB2312" w:eastAsia="仿宋_GB2312" w:cs="Times New Roman"/>
          <w:b w:val="0"/>
          <w:bCs w:val="0"/>
          <w:sz w:val="32"/>
          <w:szCs w:val="32"/>
        </w:rPr>
      </w:pPr>
      <w:r>
        <w:rPr>
          <w:rFonts w:ascii="仿宋_GB2312" w:eastAsia="仿宋_GB2312" w:cs="仿宋_GB2312"/>
          <w:b w:val="0"/>
          <w:bCs w:val="0"/>
          <w:sz w:val="32"/>
          <w:szCs w:val="32"/>
        </w:rPr>
        <w:t>2.</w:t>
      </w:r>
      <w:r>
        <w:rPr>
          <w:rFonts w:hint="eastAsia" w:ascii="仿宋_GB2312" w:eastAsia="仿宋_GB2312" w:cs="仿宋_GB2312"/>
          <w:b w:val="0"/>
          <w:bCs w:val="0"/>
          <w:sz w:val="32"/>
          <w:szCs w:val="32"/>
        </w:rPr>
        <w:t>绩效目标设置情况</w:t>
      </w:r>
    </w:p>
    <w:p w14:paraId="6AC4A622">
      <w:pPr>
        <w:adjustRightInd w:val="0"/>
        <w:snapToGrid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根据《福田区人民政府办公室关于印发&lt;福田区2020年部门预算和2020—2022年中期财政规划编制方案&gt;的通知》（</w:t>
      </w:r>
      <w:r>
        <w:rPr>
          <w:rFonts w:hint="eastAsia" w:ascii="仿宋_GB2312" w:hAnsi="宋体" w:eastAsia="仿宋_GB2312"/>
          <w:color w:val="000000"/>
          <w:sz w:val="32"/>
          <w:szCs w:val="32"/>
        </w:rPr>
        <w:t>福府办函</w:t>
      </w:r>
      <w:r>
        <w:rPr>
          <w:rFonts w:hint="eastAsia" w:ascii="仿宋_GB2312" w:hAnsi="仿宋_GB2312" w:eastAsia="仿宋_GB2312" w:cs="仿宋_GB2312"/>
          <w:sz w:val="32"/>
          <w:szCs w:val="32"/>
        </w:rPr>
        <w:t>〔2019〕22号）要求，科创局实施全面预算绩效管理，预算绩效管理范围覆盖我局纳入政府预算体系管理的所有财政性资金。2021年对科技交流合作、科技扶持、科创资源管理、科研空间经费、英才荟专项经费等项目设置了个性化绩效目标，分别设置了“产出”、“效益”三个一级绩效指标，一级指标“产出”下设置了“数量、质量、时效、成本效益”四个二级指标，“效益”下从“经济、社会、生态、满意度”四个方面加以细化量化，指标覆盖项目管理等多方面工作，绩效指标设置完整、依据充分、符合实际，且绩效目标清晰、可衡量。</w:t>
      </w:r>
    </w:p>
    <w:p w14:paraId="15265540">
      <w:pPr>
        <w:adjustRightInd w:val="0"/>
        <w:snapToGrid w:val="0"/>
        <w:spacing w:line="560" w:lineRule="exact"/>
        <w:ind w:firstLine="643" w:firstLineChars="200"/>
        <w:rPr>
          <w:rFonts w:ascii="楷体" w:hAnsi="楷体" w:eastAsia="楷体"/>
          <w:b/>
          <w:color w:val="000000"/>
          <w:sz w:val="32"/>
          <w:szCs w:val="32"/>
        </w:rPr>
      </w:pPr>
      <w:r>
        <w:rPr>
          <w:rFonts w:hint="eastAsia" w:ascii="楷体" w:hAnsi="楷体" w:eastAsia="楷体"/>
          <w:b/>
          <w:color w:val="000000"/>
          <w:sz w:val="32"/>
          <w:szCs w:val="32"/>
        </w:rPr>
        <w:t>（四）2021年部门预算执行情况。</w:t>
      </w:r>
    </w:p>
    <w:p w14:paraId="7AA12521">
      <w:pPr>
        <w:adjustRightInd w:val="0"/>
        <w:snapToGrid w:val="0"/>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1.资金管理</w:t>
      </w:r>
    </w:p>
    <w:p w14:paraId="131A5BA0">
      <w:pPr>
        <w:adjustRightInd w:val="0"/>
        <w:snapToGrid w:val="0"/>
        <w:spacing w:line="560" w:lineRule="exact"/>
        <w:ind w:firstLine="640" w:firstLineChars="200"/>
        <w:rPr>
          <w:rFonts w:ascii="仿宋_GB2312" w:eastAsia="仿宋_GB2312"/>
          <w:color w:val="000000"/>
          <w:kern w:val="0"/>
          <w:sz w:val="32"/>
          <w:szCs w:val="32"/>
        </w:rPr>
      </w:pPr>
      <w:r>
        <w:rPr>
          <w:rFonts w:hint="eastAsia" w:ascii="仿宋_GB2312" w:eastAsia="仿宋_GB2312"/>
          <w:color w:val="000000"/>
          <w:kern w:val="0"/>
          <w:sz w:val="32"/>
          <w:szCs w:val="32"/>
        </w:rPr>
        <w:t>（1）预算执行情况</w:t>
      </w:r>
    </w:p>
    <w:p w14:paraId="7539CDAE">
      <w:pPr>
        <w:adjustRightInd w:val="0"/>
        <w:snapToGrid w:val="0"/>
        <w:spacing w:line="560" w:lineRule="exact"/>
        <w:ind w:firstLine="640" w:firstLineChars="200"/>
        <w:rPr>
          <w:rFonts w:ascii="仿宋_GB2312" w:eastAsia="仿宋_GB2312"/>
          <w:color w:val="000000"/>
          <w:kern w:val="0"/>
          <w:sz w:val="32"/>
          <w:szCs w:val="32"/>
        </w:rPr>
      </w:pPr>
      <w:r>
        <w:rPr>
          <w:rFonts w:hint="eastAsia" w:ascii="仿宋_GB2312" w:eastAsia="仿宋_GB2312"/>
          <w:color w:val="000000"/>
          <w:kern w:val="0"/>
          <w:sz w:val="32"/>
          <w:szCs w:val="32"/>
        </w:rPr>
        <w:t>2021年我局预算调整后年度总指标为81,164.95万元，包括基本支出710.04万元和项目支出80,454.91万元。截至2021年年末，我局实际支出79,260.57万元，其中：基本支出631.07万元；项目支出78,629.50万元。2021年部门整体预算执行率达97.65%，预算执行情况较好。详细情况见下表：</w:t>
      </w:r>
    </w:p>
    <w:p w14:paraId="45949421">
      <w:pPr>
        <w:adjustRightInd w:val="0"/>
        <w:snapToGrid w:val="0"/>
        <w:spacing w:line="590" w:lineRule="exact"/>
        <w:jc w:val="center"/>
        <w:rPr>
          <w:rFonts w:ascii="仿宋_GB2312" w:hAnsi="黑体" w:eastAsia="仿宋_GB2312" w:cs="黑体"/>
          <w:kern w:val="0"/>
          <w:sz w:val="32"/>
          <w:szCs w:val="32"/>
        </w:rPr>
      </w:pPr>
      <w:r>
        <w:rPr>
          <w:rFonts w:ascii="仿宋_GB2312" w:hAnsi="黑体" w:eastAsia="仿宋_GB2312" w:cs="黑体"/>
          <w:kern w:val="0"/>
          <w:sz w:val="32"/>
          <w:szCs w:val="32"/>
        </w:rPr>
        <w:t>202</w:t>
      </w:r>
      <w:r>
        <w:rPr>
          <w:rFonts w:hint="eastAsia" w:ascii="仿宋_GB2312" w:hAnsi="黑体" w:eastAsia="仿宋_GB2312" w:cs="黑体"/>
          <w:kern w:val="0"/>
          <w:sz w:val="32"/>
          <w:szCs w:val="32"/>
        </w:rPr>
        <w:t>1年深圳市福田区科创局财政</w:t>
      </w:r>
      <w:r>
        <w:rPr>
          <w:rFonts w:ascii="仿宋_GB2312" w:hAnsi="黑体" w:eastAsia="仿宋_GB2312" w:cs="黑体"/>
          <w:kern w:val="0"/>
          <w:sz w:val="32"/>
          <w:szCs w:val="32"/>
        </w:rPr>
        <w:t>拨款</w:t>
      </w:r>
      <w:r>
        <w:rPr>
          <w:rFonts w:hint="eastAsia" w:ascii="仿宋_GB2312" w:hAnsi="黑体" w:eastAsia="仿宋_GB2312" w:cs="黑体"/>
          <w:kern w:val="0"/>
          <w:sz w:val="32"/>
          <w:szCs w:val="32"/>
        </w:rPr>
        <w:t>收入</w:t>
      </w:r>
      <w:r>
        <w:rPr>
          <w:rFonts w:ascii="仿宋_GB2312" w:hAnsi="黑体" w:eastAsia="仿宋_GB2312" w:cs="黑体"/>
          <w:kern w:val="0"/>
          <w:sz w:val="32"/>
          <w:szCs w:val="32"/>
        </w:rPr>
        <w:t>及支出情况表</w:t>
      </w:r>
    </w:p>
    <w:p w14:paraId="7003A302">
      <w:pPr>
        <w:adjustRightInd w:val="0"/>
        <w:snapToGrid w:val="0"/>
        <w:spacing w:line="590" w:lineRule="exact"/>
        <w:ind w:firstLine="422" w:firstLineChars="200"/>
        <w:jc w:val="right"/>
        <w:rPr>
          <w:rFonts w:ascii="仿宋_GB2312" w:hAnsi="仿宋_GB2312" w:eastAsia="仿宋_GB2312" w:cs="仿宋_GB2312"/>
          <w:b/>
          <w:szCs w:val="21"/>
        </w:rPr>
      </w:pPr>
      <w:r>
        <w:rPr>
          <w:rFonts w:hint="eastAsia" w:ascii="仿宋_GB2312" w:hAnsi="仿宋_GB2312" w:eastAsia="仿宋_GB2312" w:cs="仿宋_GB2312"/>
          <w:b/>
          <w:szCs w:val="21"/>
        </w:rPr>
        <w:t>单位：</w:t>
      </w:r>
      <w:r>
        <w:rPr>
          <w:rFonts w:ascii="仿宋_GB2312" w:hAnsi="仿宋_GB2312" w:eastAsia="仿宋_GB2312" w:cs="仿宋_GB2312"/>
          <w:b/>
          <w:szCs w:val="21"/>
        </w:rPr>
        <w:t>万元</w:t>
      </w:r>
    </w:p>
    <w:tbl>
      <w:tblPr>
        <w:tblStyle w:val="9"/>
        <w:tblW w:w="9902" w:type="dxa"/>
        <w:jc w:val="center"/>
        <w:tblLayout w:type="fixed"/>
        <w:tblCellMar>
          <w:top w:w="0" w:type="dxa"/>
          <w:left w:w="108" w:type="dxa"/>
          <w:bottom w:w="0" w:type="dxa"/>
          <w:right w:w="108" w:type="dxa"/>
        </w:tblCellMar>
      </w:tblPr>
      <w:tblGrid>
        <w:gridCol w:w="2841"/>
        <w:gridCol w:w="1844"/>
        <w:gridCol w:w="2058"/>
        <w:gridCol w:w="1824"/>
        <w:gridCol w:w="1335"/>
      </w:tblGrid>
      <w:tr w14:paraId="4C2E2A3A">
        <w:tblPrEx>
          <w:tblCellMar>
            <w:top w:w="0" w:type="dxa"/>
            <w:left w:w="108" w:type="dxa"/>
            <w:bottom w:w="0" w:type="dxa"/>
            <w:right w:w="108" w:type="dxa"/>
          </w:tblCellMar>
        </w:tblPrEx>
        <w:trPr>
          <w:trHeight w:val="255" w:hRule="atLeast"/>
          <w:tblHeader/>
          <w:jc w:val="center"/>
        </w:trPr>
        <w:tc>
          <w:tcPr>
            <w:tcW w:w="2841" w:type="dxa"/>
            <w:vMerge w:val="restart"/>
            <w:tcBorders>
              <w:top w:val="single" w:color="auto" w:sz="8" w:space="0"/>
              <w:left w:val="single" w:color="auto" w:sz="8" w:space="0"/>
              <w:bottom w:val="single" w:color="000000" w:sz="8" w:space="0"/>
              <w:right w:val="single" w:color="auto" w:sz="8" w:space="0"/>
            </w:tcBorders>
            <w:shd w:val="clear" w:color="auto" w:fill="auto"/>
            <w:vAlign w:val="center"/>
          </w:tcPr>
          <w:p w14:paraId="56916894">
            <w:pPr>
              <w:widowControl/>
              <w:spacing w:line="590" w:lineRule="exact"/>
              <w:jc w:val="center"/>
              <w:rPr>
                <w:rFonts w:ascii="仿宋_GB2312" w:hAnsi="Arial" w:eastAsia="仿宋_GB2312" w:cs="Arial"/>
                <w:b/>
                <w:bCs/>
                <w:color w:val="000000"/>
                <w:kern w:val="0"/>
                <w:szCs w:val="21"/>
              </w:rPr>
            </w:pPr>
            <w:r>
              <w:rPr>
                <w:rFonts w:hint="eastAsia" w:ascii="仿宋_GB2312" w:hAnsi="Arial" w:eastAsia="仿宋_GB2312" w:cs="Arial"/>
                <w:b/>
                <w:bCs/>
                <w:color w:val="000000"/>
                <w:kern w:val="0"/>
                <w:szCs w:val="21"/>
              </w:rPr>
              <w:t>分项收入</w:t>
            </w:r>
          </w:p>
        </w:tc>
        <w:tc>
          <w:tcPr>
            <w:tcW w:w="1844" w:type="dxa"/>
            <w:vMerge w:val="restart"/>
            <w:tcBorders>
              <w:top w:val="single" w:color="auto" w:sz="8" w:space="0"/>
              <w:left w:val="single" w:color="auto" w:sz="8" w:space="0"/>
              <w:bottom w:val="single" w:color="000000" w:sz="8" w:space="0"/>
              <w:right w:val="single" w:color="auto" w:sz="8" w:space="0"/>
            </w:tcBorders>
            <w:shd w:val="clear" w:color="auto" w:fill="auto"/>
            <w:vAlign w:val="center"/>
          </w:tcPr>
          <w:p w14:paraId="2365E27D">
            <w:pPr>
              <w:widowControl/>
              <w:spacing w:line="590" w:lineRule="exact"/>
              <w:jc w:val="center"/>
              <w:rPr>
                <w:rFonts w:ascii="仿宋_GB2312" w:hAnsi="Arial" w:eastAsia="仿宋_GB2312" w:cs="Arial"/>
                <w:b/>
                <w:bCs/>
                <w:color w:val="000000"/>
                <w:kern w:val="0"/>
                <w:szCs w:val="21"/>
              </w:rPr>
            </w:pPr>
            <w:r>
              <w:rPr>
                <w:rFonts w:hint="eastAsia" w:ascii="仿宋_GB2312" w:hAnsi="Arial" w:eastAsia="仿宋_GB2312" w:cs="Arial"/>
                <w:b/>
                <w:bCs/>
                <w:color w:val="000000"/>
                <w:kern w:val="0"/>
                <w:szCs w:val="21"/>
              </w:rPr>
              <w:t>年初预算</w:t>
            </w:r>
          </w:p>
        </w:tc>
        <w:tc>
          <w:tcPr>
            <w:tcW w:w="2058" w:type="dxa"/>
            <w:vMerge w:val="restart"/>
            <w:tcBorders>
              <w:top w:val="single" w:color="auto" w:sz="8" w:space="0"/>
              <w:left w:val="single" w:color="auto" w:sz="8" w:space="0"/>
              <w:bottom w:val="single" w:color="000000" w:sz="8" w:space="0"/>
              <w:right w:val="single" w:color="auto" w:sz="8" w:space="0"/>
            </w:tcBorders>
            <w:shd w:val="clear" w:color="auto" w:fill="auto"/>
            <w:vAlign w:val="center"/>
          </w:tcPr>
          <w:p w14:paraId="16AE9E65">
            <w:pPr>
              <w:widowControl/>
              <w:spacing w:line="590" w:lineRule="exact"/>
              <w:jc w:val="center"/>
              <w:rPr>
                <w:rFonts w:ascii="仿宋_GB2312" w:hAnsi="Arial" w:eastAsia="仿宋_GB2312" w:cs="Arial"/>
                <w:b/>
                <w:bCs/>
                <w:color w:val="000000"/>
                <w:kern w:val="0"/>
                <w:szCs w:val="21"/>
              </w:rPr>
            </w:pPr>
            <w:r>
              <w:rPr>
                <w:rFonts w:hint="eastAsia" w:ascii="仿宋_GB2312" w:hAnsi="Arial" w:eastAsia="仿宋_GB2312" w:cs="Arial"/>
                <w:b/>
                <w:bCs/>
                <w:color w:val="000000"/>
                <w:kern w:val="0"/>
                <w:szCs w:val="21"/>
              </w:rPr>
              <w:t>年度预算总指标</w:t>
            </w:r>
          </w:p>
        </w:tc>
        <w:tc>
          <w:tcPr>
            <w:tcW w:w="1824" w:type="dxa"/>
            <w:vMerge w:val="restart"/>
            <w:tcBorders>
              <w:top w:val="single" w:color="auto" w:sz="8" w:space="0"/>
              <w:left w:val="single" w:color="auto" w:sz="8" w:space="0"/>
              <w:bottom w:val="single" w:color="000000" w:sz="8" w:space="0"/>
              <w:right w:val="single" w:color="auto" w:sz="8" w:space="0"/>
            </w:tcBorders>
            <w:shd w:val="clear" w:color="auto" w:fill="auto"/>
            <w:vAlign w:val="center"/>
          </w:tcPr>
          <w:p w14:paraId="43FF3905">
            <w:pPr>
              <w:widowControl/>
              <w:spacing w:line="590" w:lineRule="exact"/>
              <w:jc w:val="center"/>
              <w:rPr>
                <w:rFonts w:ascii="仿宋_GB2312" w:hAnsi="Arial" w:eastAsia="仿宋_GB2312" w:cs="Arial"/>
                <w:b/>
                <w:bCs/>
                <w:color w:val="000000"/>
                <w:kern w:val="0"/>
                <w:szCs w:val="21"/>
              </w:rPr>
            </w:pPr>
            <w:r>
              <w:rPr>
                <w:rFonts w:hint="eastAsia" w:ascii="仿宋_GB2312" w:hAnsi="Arial" w:eastAsia="仿宋_GB2312" w:cs="Arial"/>
                <w:b/>
                <w:bCs/>
                <w:color w:val="000000"/>
                <w:kern w:val="0"/>
                <w:szCs w:val="21"/>
              </w:rPr>
              <w:t>年度总支出</w:t>
            </w:r>
          </w:p>
        </w:tc>
        <w:tc>
          <w:tcPr>
            <w:tcW w:w="1335" w:type="dxa"/>
            <w:tcBorders>
              <w:top w:val="single" w:color="auto" w:sz="8" w:space="0"/>
              <w:left w:val="nil"/>
              <w:bottom w:val="nil"/>
              <w:right w:val="single" w:color="auto" w:sz="8" w:space="0"/>
            </w:tcBorders>
            <w:shd w:val="clear" w:color="auto" w:fill="auto"/>
            <w:vAlign w:val="center"/>
          </w:tcPr>
          <w:p w14:paraId="313B54BA">
            <w:pPr>
              <w:widowControl/>
              <w:spacing w:line="400" w:lineRule="exact"/>
              <w:jc w:val="center"/>
              <w:rPr>
                <w:rFonts w:ascii="仿宋_GB2312" w:hAnsi="Arial" w:eastAsia="仿宋_GB2312" w:cs="Arial"/>
                <w:b/>
                <w:bCs/>
                <w:color w:val="000000"/>
                <w:kern w:val="0"/>
                <w:szCs w:val="21"/>
              </w:rPr>
            </w:pPr>
            <w:r>
              <w:rPr>
                <w:rFonts w:hint="eastAsia" w:ascii="仿宋_GB2312" w:hAnsi="Arial" w:eastAsia="仿宋_GB2312" w:cs="Arial"/>
                <w:b/>
                <w:bCs/>
                <w:color w:val="000000"/>
                <w:kern w:val="0"/>
                <w:szCs w:val="21"/>
              </w:rPr>
              <w:t>预算</w:t>
            </w:r>
          </w:p>
        </w:tc>
      </w:tr>
      <w:tr w14:paraId="2D092FF6">
        <w:tblPrEx>
          <w:tblCellMar>
            <w:top w:w="0" w:type="dxa"/>
            <w:left w:w="108" w:type="dxa"/>
            <w:bottom w:w="0" w:type="dxa"/>
            <w:right w:w="108" w:type="dxa"/>
          </w:tblCellMar>
        </w:tblPrEx>
        <w:trPr>
          <w:trHeight w:val="270" w:hRule="atLeast"/>
          <w:tblHeader/>
          <w:jc w:val="center"/>
        </w:trPr>
        <w:tc>
          <w:tcPr>
            <w:tcW w:w="2841" w:type="dxa"/>
            <w:vMerge w:val="continue"/>
            <w:tcBorders>
              <w:top w:val="single" w:color="auto" w:sz="8" w:space="0"/>
              <w:left w:val="single" w:color="auto" w:sz="8" w:space="0"/>
              <w:bottom w:val="single" w:color="000000" w:sz="8" w:space="0"/>
              <w:right w:val="single" w:color="auto" w:sz="8" w:space="0"/>
            </w:tcBorders>
            <w:vAlign w:val="center"/>
          </w:tcPr>
          <w:p w14:paraId="2216D7ED">
            <w:pPr>
              <w:widowControl/>
              <w:spacing w:line="590" w:lineRule="exact"/>
              <w:jc w:val="left"/>
              <w:rPr>
                <w:rFonts w:ascii="仿宋_GB2312" w:hAnsi="Arial" w:eastAsia="仿宋_GB2312" w:cs="Arial"/>
                <w:b/>
                <w:bCs/>
                <w:color w:val="000000"/>
                <w:kern w:val="0"/>
                <w:szCs w:val="21"/>
              </w:rPr>
            </w:pPr>
          </w:p>
        </w:tc>
        <w:tc>
          <w:tcPr>
            <w:tcW w:w="1844" w:type="dxa"/>
            <w:vMerge w:val="continue"/>
            <w:tcBorders>
              <w:top w:val="single" w:color="auto" w:sz="8" w:space="0"/>
              <w:left w:val="single" w:color="auto" w:sz="8" w:space="0"/>
              <w:bottom w:val="single" w:color="000000" w:sz="8" w:space="0"/>
              <w:right w:val="single" w:color="auto" w:sz="8" w:space="0"/>
            </w:tcBorders>
            <w:vAlign w:val="center"/>
          </w:tcPr>
          <w:p w14:paraId="6166654E">
            <w:pPr>
              <w:widowControl/>
              <w:spacing w:line="590" w:lineRule="exact"/>
              <w:jc w:val="left"/>
              <w:rPr>
                <w:rFonts w:ascii="仿宋_GB2312" w:hAnsi="Arial" w:eastAsia="仿宋_GB2312" w:cs="Arial"/>
                <w:b/>
                <w:bCs/>
                <w:color w:val="000000"/>
                <w:kern w:val="0"/>
                <w:szCs w:val="21"/>
              </w:rPr>
            </w:pPr>
          </w:p>
        </w:tc>
        <w:tc>
          <w:tcPr>
            <w:tcW w:w="2058" w:type="dxa"/>
            <w:vMerge w:val="continue"/>
            <w:tcBorders>
              <w:top w:val="single" w:color="auto" w:sz="8" w:space="0"/>
              <w:left w:val="single" w:color="auto" w:sz="8" w:space="0"/>
              <w:bottom w:val="single" w:color="000000" w:sz="8" w:space="0"/>
              <w:right w:val="single" w:color="auto" w:sz="8" w:space="0"/>
            </w:tcBorders>
            <w:vAlign w:val="center"/>
          </w:tcPr>
          <w:p w14:paraId="304942BE">
            <w:pPr>
              <w:widowControl/>
              <w:spacing w:line="590" w:lineRule="exact"/>
              <w:jc w:val="left"/>
              <w:rPr>
                <w:rFonts w:ascii="仿宋_GB2312" w:hAnsi="Arial" w:eastAsia="仿宋_GB2312" w:cs="Arial"/>
                <w:b/>
                <w:bCs/>
                <w:color w:val="000000"/>
                <w:kern w:val="0"/>
                <w:szCs w:val="21"/>
              </w:rPr>
            </w:pPr>
          </w:p>
        </w:tc>
        <w:tc>
          <w:tcPr>
            <w:tcW w:w="1824" w:type="dxa"/>
            <w:vMerge w:val="continue"/>
            <w:tcBorders>
              <w:top w:val="single" w:color="auto" w:sz="8" w:space="0"/>
              <w:left w:val="single" w:color="auto" w:sz="8" w:space="0"/>
              <w:bottom w:val="single" w:color="000000" w:sz="8" w:space="0"/>
              <w:right w:val="single" w:color="auto" w:sz="8" w:space="0"/>
            </w:tcBorders>
            <w:vAlign w:val="center"/>
          </w:tcPr>
          <w:p w14:paraId="059251F6">
            <w:pPr>
              <w:widowControl/>
              <w:spacing w:line="590" w:lineRule="exact"/>
              <w:jc w:val="left"/>
              <w:rPr>
                <w:rFonts w:ascii="仿宋_GB2312" w:hAnsi="Arial" w:eastAsia="仿宋_GB2312" w:cs="Arial"/>
                <w:b/>
                <w:bCs/>
                <w:color w:val="000000"/>
                <w:kern w:val="0"/>
                <w:szCs w:val="21"/>
              </w:rPr>
            </w:pPr>
          </w:p>
        </w:tc>
        <w:tc>
          <w:tcPr>
            <w:tcW w:w="1335" w:type="dxa"/>
            <w:tcBorders>
              <w:top w:val="nil"/>
              <w:left w:val="nil"/>
              <w:bottom w:val="single" w:color="auto" w:sz="8" w:space="0"/>
              <w:right w:val="single" w:color="auto" w:sz="8" w:space="0"/>
            </w:tcBorders>
            <w:shd w:val="clear" w:color="auto" w:fill="auto"/>
            <w:vAlign w:val="center"/>
          </w:tcPr>
          <w:p w14:paraId="595F0329">
            <w:pPr>
              <w:widowControl/>
              <w:spacing w:line="400" w:lineRule="exact"/>
              <w:jc w:val="center"/>
              <w:rPr>
                <w:rFonts w:ascii="仿宋_GB2312" w:hAnsi="Arial" w:eastAsia="仿宋_GB2312" w:cs="Arial"/>
                <w:b/>
                <w:bCs/>
                <w:color w:val="000000"/>
                <w:kern w:val="0"/>
                <w:szCs w:val="21"/>
              </w:rPr>
            </w:pPr>
            <w:r>
              <w:rPr>
                <w:rFonts w:hint="eastAsia" w:ascii="仿宋_GB2312" w:hAnsi="Arial" w:eastAsia="仿宋_GB2312" w:cs="Arial"/>
                <w:b/>
                <w:bCs/>
                <w:color w:val="000000"/>
                <w:kern w:val="0"/>
                <w:szCs w:val="21"/>
              </w:rPr>
              <w:t>执行率</w:t>
            </w:r>
          </w:p>
        </w:tc>
      </w:tr>
      <w:tr w14:paraId="54699DAA">
        <w:tblPrEx>
          <w:tblCellMar>
            <w:top w:w="0" w:type="dxa"/>
            <w:left w:w="108" w:type="dxa"/>
            <w:bottom w:w="0" w:type="dxa"/>
            <w:right w:w="108" w:type="dxa"/>
          </w:tblCellMar>
        </w:tblPrEx>
        <w:trPr>
          <w:trHeight w:val="279" w:hRule="atLeast"/>
          <w:jc w:val="center"/>
        </w:trPr>
        <w:tc>
          <w:tcPr>
            <w:tcW w:w="2841" w:type="dxa"/>
            <w:tcBorders>
              <w:top w:val="nil"/>
              <w:left w:val="single" w:color="auto" w:sz="8" w:space="0"/>
              <w:bottom w:val="single" w:color="auto" w:sz="8" w:space="0"/>
              <w:right w:val="single" w:color="auto" w:sz="8" w:space="0"/>
            </w:tcBorders>
            <w:shd w:val="clear" w:color="auto" w:fill="auto"/>
            <w:vAlign w:val="center"/>
          </w:tcPr>
          <w:p w14:paraId="5481B1B4">
            <w:pPr>
              <w:widowControl/>
              <w:spacing w:line="590" w:lineRule="exact"/>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基本支出</w:t>
            </w:r>
          </w:p>
        </w:tc>
        <w:tc>
          <w:tcPr>
            <w:tcW w:w="1844" w:type="dxa"/>
            <w:tcBorders>
              <w:top w:val="nil"/>
              <w:left w:val="nil"/>
              <w:bottom w:val="single" w:color="auto" w:sz="8" w:space="0"/>
              <w:right w:val="single" w:color="auto" w:sz="8" w:space="0"/>
            </w:tcBorders>
            <w:shd w:val="clear" w:color="auto" w:fill="auto"/>
            <w:vAlign w:val="bottom"/>
          </w:tcPr>
          <w:p w14:paraId="0E8B2F38">
            <w:pPr>
              <w:widowControl/>
              <w:spacing w:line="590" w:lineRule="exact"/>
              <w:jc w:val="center"/>
              <w:textAlignment w:val="bottom"/>
              <w:rPr>
                <w:rFonts w:ascii="Arial" w:hAnsi="Arial" w:cs="Arial"/>
                <w:color w:val="000000"/>
                <w:sz w:val="20"/>
                <w:szCs w:val="20"/>
              </w:rPr>
            </w:pPr>
            <w:r>
              <w:rPr>
                <w:rFonts w:ascii="Arial" w:hAnsi="Arial" w:cs="Arial"/>
                <w:color w:val="000000"/>
                <w:kern w:val="0"/>
                <w:sz w:val="20"/>
                <w:szCs w:val="20"/>
                <w:lang w:bidi="ar"/>
              </w:rPr>
              <w:t>681.36</w:t>
            </w:r>
          </w:p>
        </w:tc>
        <w:tc>
          <w:tcPr>
            <w:tcW w:w="2058" w:type="dxa"/>
            <w:tcBorders>
              <w:top w:val="nil"/>
              <w:left w:val="nil"/>
              <w:bottom w:val="single" w:color="auto" w:sz="8" w:space="0"/>
              <w:right w:val="single" w:color="auto" w:sz="8" w:space="0"/>
            </w:tcBorders>
            <w:shd w:val="clear" w:color="auto" w:fill="auto"/>
            <w:vAlign w:val="bottom"/>
          </w:tcPr>
          <w:p w14:paraId="0C9F2F3E">
            <w:pPr>
              <w:widowControl/>
              <w:spacing w:line="590" w:lineRule="exact"/>
              <w:jc w:val="center"/>
              <w:textAlignment w:val="bottom"/>
              <w:rPr>
                <w:rFonts w:ascii="Arial" w:hAnsi="Arial" w:cs="Arial"/>
                <w:color w:val="000000"/>
                <w:sz w:val="20"/>
                <w:szCs w:val="20"/>
              </w:rPr>
            </w:pPr>
            <w:r>
              <w:rPr>
                <w:rFonts w:ascii="Arial" w:hAnsi="Arial" w:cs="Arial"/>
                <w:color w:val="000000"/>
                <w:kern w:val="0"/>
                <w:sz w:val="20"/>
                <w:szCs w:val="20"/>
                <w:lang w:bidi="ar"/>
              </w:rPr>
              <w:t>710.04</w:t>
            </w:r>
          </w:p>
        </w:tc>
        <w:tc>
          <w:tcPr>
            <w:tcW w:w="1824" w:type="dxa"/>
            <w:tcBorders>
              <w:top w:val="nil"/>
              <w:left w:val="nil"/>
              <w:bottom w:val="single" w:color="auto" w:sz="8" w:space="0"/>
              <w:right w:val="single" w:color="auto" w:sz="8" w:space="0"/>
            </w:tcBorders>
            <w:shd w:val="clear" w:color="auto" w:fill="auto"/>
            <w:vAlign w:val="bottom"/>
          </w:tcPr>
          <w:p w14:paraId="51E42454">
            <w:pPr>
              <w:widowControl/>
              <w:spacing w:line="590" w:lineRule="exact"/>
              <w:jc w:val="center"/>
              <w:textAlignment w:val="bottom"/>
              <w:rPr>
                <w:rFonts w:ascii="Arial" w:hAnsi="Arial" w:cs="Arial"/>
                <w:color w:val="000000"/>
                <w:sz w:val="20"/>
                <w:szCs w:val="20"/>
              </w:rPr>
            </w:pPr>
            <w:r>
              <w:rPr>
                <w:rFonts w:ascii="Arial" w:hAnsi="Arial" w:cs="Arial"/>
                <w:color w:val="000000"/>
                <w:kern w:val="0"/>
                <w:sz w:val="20"/>
                <w:szCs w:val="20"/>
                <w:lang w:bidi="ar"/>
              </w:rPr>
              <w:t>631.07</w:t>
            </w:r>
          </w:p>
        </w:tc>
        <w:tc>
          <w:tcPr>
            <w:tcW w:w="1335" w:type="dxa"/>
            <w:tcBorders>
              <w:top w:val="nil"/>
              <w:left w:val="nil"/>
              <w:bottom w:val="single" w:color="auto" w:sz="8" w:space="0"/>
              <w:right w:val="single" w:color="auto" w:sz="8" w:space="0"/>
            </w:tcBorders>
            <w:shd w:val="clear" w:color="auto" w:fill="auto"/>
            <w:vAlign w:val="bottom"/>
          </w:tcPr>
          <w:p w14:paraId="38529D4E">
            <w:pPr>
              <w:widowControl/>
              <w:spacing w:line="590" w:lineRule="exact"/>
              <w:jc w:val="center"/>
              <w:textAlignment w:val="bottom"/>
              <w:rPr>
                <w:rFonts w:ascii="Arial" w:hAnsi="Arial" w:cs="Arial"/>
                <w:color w:val="000000"/>
                <w:sz w:val="20"/>
                <w:szCs w:val="20"/>
              </w:rPr>
            </w:pPr>
            <w:r>
              <w:rPr>
                <w:rFonts w:ascii="Arial" w:hAnsi="Arial" w:cs="Arial"/>
                <w:color w:val="000000"/>
                <w:kern w:val="0"/>
                <w:sz w:val="20"/>
                <w:szCs w:val="20"/>
                <w:lang w:bidi="ar"/>
              </w:rPr>
              <w:t>88.88%</w:t>
            </w:r>
          </w:p>
        </w:tc>
      </w:tr>
      <w:tr w14:paraId="56BD5D77">
        <w:tblPrEx>
          <w:tblCellMar>
            <w:top w:w="0" w:type="dxa"/>
            <w:left w:w="108" w:type="dxa"/>
            <w:bottom w:w="0" w:type="dxa"/>
            <w:right w:w="108" w:type="dxa"/>
          </w:tblCellMar>
        </w:tblPrEx>
        <w:trPr>
          <w:trHeight w:val="417" w:hRule="atLeast"/>
          <w:jc w:val="center"/>
        </w:trPr>
        <w:tc>
          <w:tcPr>
            <w:tcW w:w="2841" w:type="dxa"/>
            <w:tcBorders>
              <w:top w:val="nil"/>
              <w:left w:val="single" w:color="auto" w:sz="8" w:space="0"/>
              <w:bottom w:val="single" w:color="auto" w:sz="8" w:space="0"/>
              <w:right w:val="single" w:color="auto" w:sz="8" w:space="0"/>
            </w:tcBorders>
            <w:shd w:val="clear" w:color="auto" w:fill="auto"/>
            <w:vAlign w:val="center"/>
          </w:tcPr>
          <w:p w14:paraId="72D264E9">
            <w:pPr>
              <w:widowControl/>
              <w:spacing w:line="400" w:lineRule="exact"/>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  其中：人员经费    </w:t>
            </w:r>
          </w:p>
        </w:tc>
        <w:tc>
          <w:tcPr>
            <w:tcW w:w="1844" w:type="dxa"/>
            <w:tcBorders>
              <w:top w:val="nil"/>
              <w:left w:val="nil"/>
              <w:bottom w:val="single" w:color="auto" w:sz="8" w:space="0"/>
              <w:right w:val="single" w:color="auto" w:sz="8" w:space="0"/>
            </w:tcBorders>
            <w:shd w:val="clear" w:color="auto" w:fill="auto"/>
            <w:vAlign w:val="bottom"/>
          </w:tcPr>
          <w:p w14:paraId="0C763CE7">
            <w:pPr>
              <w:widowControl/>
              <w:spacing w:line="400" w:lineRule="exact"/>
              <w:jc w:val="center"/>
              <w:textAlignment w:val="bottom"/>
              <w:rPr>
                <w:rFonts w:ascii="Arial" w:hAnsi="Arial" w:cs="Arial"/>
                <w:color w:val="000000"/>
                <w:sz w:val="20"/>
                <w:szCs w:val="20"/>
              </w:rPr>
            </w:pPr>
            <w:r>
              <w:rPr>
                <w:rFonts w:ascii="Arial" w:hAnsi="Arial" w:cs="Arial"/>
                <w:color w:val="000000"/>
                <w:kern w:val="0"/>
                <w:sz w:val="20"/>
                <w:szCs w:val="20"/>
                <w:lang w:bidi="ar"/>
              </w:rPr>
              <w:t>642.21</w:t>
            </w:r>
          </w:p>
        </w:tc>
        <w:tc>
          <w:tcPr>
            <w:tcW w:w="2058" w:type="dxa"/>
            <w:tcBorders>
              <w:top w:val="nil"/>
              <w:left w:val="nil"/>
              <w:bottom w:val="single" w:color="auto" w:sz="8" w:space="0"/>
              <w:right w:val="single" w:color="auto" w:sz="8" w:space="0"/>
            </w:tcBorders>
            <w:shd w:val="clear" w:color="auto" w:fill="auto"/>
            <w:vAlign w:val="bottom"/>
          </w:tcPr>
          <w:p w14:paraId="2F0B1FF1">
            <w:pPr>
              <w:widowControl/>
              <w:spacing w:line="400" w:lineRule="exact"/>
              <w:jc w:val="center"/>
              <w:textAlignment w:val="bottom"/>
              <w:rPr>
                <w:rFonts w:ascii="Arial" w:hAnsi="Arial" w:cs="Arial"/>
                <w:color w:val="000000"/>
                <w:sz w:val="20"/>
                <w:szCs w:val="20"/>
              </w:rPr>
            </w:pPr>
            <w:r>
              <w:rPr>
                <w:rFonts w:ascii="Arial" w:hAnsi="Arial" w:cs="Arial"/>
                <w:color w:val="000000"/>
                <w:kern w:val="0"/>
                <w:sz w:val="20"/>
                <w:szCs w:val="20"/>
                <w:lang w:bidi="ar"/>
              </w:rPr>
              <w:t>670.89</w:t>
            </w:r>
          </w:p>
        </w:tc>
        <w:tc>
          <w:tcPr>
            <w:tcW w:w="1824" w:type="dxa"/>
            <w:tcBorders>
              <w:top w:val="nil"/>
              <w:left w:val="nil"/>
              <w:bottom w:val="single" w:color="auto" w:sz="8" w:space="0"/>
              <w:right w:val="single" w:color="auto" w:sz="8" w:space="0"/>
            </w:tcBorders>
            <w:shd w:val="clear" w:color="auto" w:fill="auto"/>
            <w:vAlign w:val="bottom"/>
          </w:tcPr>
          <w:p w14:paraId="58D538F7">
            <w:pPr>
              <w:widowControl/>
              <w:spacing w:line="400" w:lineRule="exact"/>
              <w:jc w:val="center"/>
              <w:textAlignment w:val="bottom"/>
              <w:rPr>
                <w:rFonts w:ascii="Arial" w:hAnsi="Arial" w:cs="Arial"/>
                <w:color w:val="000000"/>
                <w:sz w:val="20"/>
                <w:szCs w:val="20"/>
              </w:rPr>
            </w:pPr>
            <w:r>
              <w:rPr>
                <w:rFonts w:ascii="Arial" w:hAnsi="Arial" w:cs="Arial"/>
                <w:color w:val="000000"/>
                <w:kern w:val="0"/>
                <w:sz w:val="20"/>
                <w:szCs w:val="20"/>
                <w:lang w:bidi="ar"/>
              </w:rPr>
              <w:t>606.07</w:t>
            </w:r>
          </w:p>
        </w:tc>
        <w:tc>
          <w:tcPr>
            <w:tcW w:w="1335" w:type="dxa"/>
            <w:tcBorders>
              <w:top w:val="nil"/>
              <w:left w:val="nil"/>
              <w:bottom w:val="single" w:color="auto" w:sz="8" w:space="0"/>
              <w:right w:val="single" w:color="auto" w:sz="8" w:space="0"/>
            </w:tcBorders>
            <w:shd w:val="clear" w:color="auto" w:fill="auto"/>
            <w:vAlign w:val="bottom"/>
          </w:tcPr>
          <w:p w14:paraId="06F74276">
            <w:pPr>
              <w:widowControl/>
              <w:spacing w:line="400" w:lineRule="exact"/>
              <w:jc w:val="center"/>
              <w:textAlignment w:val="bottom"/>
              <w:rPr>
                <w:rFonts w:ascii="Arial" w:hAnsi="Arial" w:cs="Arial"/>
                <w:color w:val="000000"/>
                <w:sz w:val="20"/>
                <w:szCs w:val="20"/>
              </w:rPr>
            </w:pPr>
            <w:r>
              <w:rPr>
                <w:rFonts w:ascii="Arial" w:hAnsi="Arial" w:cs="Arial"/>
                <w:color w:val="000000"/>
                <w:kern w:val="0"/>
                <w:sz w:val="20"/>
                <w:szCs w:val="20"/>
                <w:lang w:bidi="ar"/>
              </w:rPr>
              <w:t>90.34%</w:t>
            </w:r>
          </w:p>
        </w:tc>
      </w:tr>
      <w:tr w14:paraId="4F47CF3B">
        <w:tblPrEx>
          <w:tblCellMar>
            <w:top w:w="0" w:type="dxa"/>
            <w:left w:w="108" w:type="dxa"/>
            <w:bottom w:w="0" w:type="dxa"/>
            <w:right w:w="108" w:type="dxa"/>
          </w:tblCellMar>
        </w:tblPrEx>
        <w:trPr>
          <w:trHeight w:val="285" w:hRule="atLeast"/>
          <w:jc w:val="center"/>
        </w:trPr>
        <w:tc>
          <w:tcPr>
            <w:tcW w:w="2841" w:type="dxa"/>
            <w:tcBorders>
              <w:top w:val="nil"/>
              <w:left w:val="single" w:color="auto" w:sz="8" w:space="0"/>
              <w:bottom w:val="single" w:color="auto" w:sz="8" w:space="0"/>
              <w:right w:val="single" w:color="auto" w:sz="8" w:space="0"/>
            </w:tcBorders>
            <w:shd w:val="clear" w:color="auto" w:fill="auto"/>
            <w:vAlign w:val="center"/>
          </w:tcPr>
          <w:p w14:paraId="39B78BB4">
            <w:pPr>
              <w:widowControl/>
              <w:spacing w:line="400" w:lineRule="exact"/>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 xml:space="preserve">       </w:t>
            </w:r>
            <w:r>
              <w:rPr>
                <w:rFonts w:ascii="仿宋_GB2312" w:hAnsi="Arial" w:eastAsia="仿宋_GB2312" w:cs="Arial"/>
                <w:color w:val="000000"/>
                <w:kern w:val="0"/>
                <w:szCs w:val="21"/>
              </w:rPr>
              <w:t xml:space="preserve"> </w:t>
            </w:r>
            <w:r>
              <w:rPr>
                <w:rFonts w:hint="eastAsia" w:ascii="仿宋_GB2312" w:hAnsi="Arial" w:eastAsia="仿宋_GB2312" w:cs="Arial"/>
                <w:color w:val="000000"/>
                <w:kern w:val="0"/>
                <w:szCs w:val="21"/>
              </w:rPr>
              <w:t>日常公用经费</w:t>
            </w:r>
          </w:p>
        </w:tc>
        <w:tc>
          <w:tcPr>
            <w:tcW w:w="1844" w:type="dxa"/>
            <w:tcBorders>
              <w:top w:val="nil"/>
              <w:left w:val="nil"/>
              <w:bottom w:val="single" w:color="auto" w:sz="8" w:space="0"/>
              <w:right w:val="single" w:color="auto" w:sz="8" w:space="0"/>
            </w:tcBorders>
            <w:shd w:val="clear" w:color="auto" w:fill="auto"/>
            <w:vAlign w:val="bottom"/>
          </w:tcPr>
          <w:p w14:paraId="51773A54">
            <w:pPr>
              <w:widowControl/>
              <w:spacing w:line="400" w:lineRule="exact"/>
              <w:jc w:val="center"/>
              <w:textAlignment w:val="bottom"/>
              <w:rPr>
                <w:rFonts w:ascii="Arial" w:hAnsi="Arial" w:cs="Arial"/>
                <w:color w:val="000000"/>
                <w:sz w:val="20"/>
                <w:szCs w:val="20"/>
              </w:rPr>
            </w:pPr>
            <w:r>
              <w:rPr>
                <w:rFonts w:ascii="Arial" w:hAnsi="Arial" w:cs="Arial"/>
                <w:color w:val="000000"/>
                <w:kern w:val="0"/>
                <w:sz w:val="20"/>
                <w:szCs w:val="20"/>
                <w:lang w:bidi="ar"/>
              </w:rPr>
              <w:t>39.15</w:t>
            </w:r>
          </w:p>
        </w:tc>
        <w:tc>
          <w:tcPr>
            <w:tcW w:w="2058" w:type="dxa"/>
            <w:tcBorders>
              <w:top w:val="nil"/>
              <w:left w:val="nil"/>
              <w:bottom w:val="single" w:color="auto" w:sz="8" w:space="0"/>
              <w:right w:val="single" w:color="auto" w:sz="8" w:space="0"/>
            </w:tcBorders>
            <w:shd w:val="clear" w:color="auto" w:fill="auto"/>
            <w:vAlign w:val="bottom"/>
          </w:tcPr>
          <w:p w14:paraId="66057C5C">
            <w:pPr>
              <w:widowControl/>
              <w:spacing w:line="400" w:lineRule="exact"/>
              <w:jc w:val="center"/>
              <w:textAlignment w:val="bottom"/>
              <w:rPr>
                <w:rFonts w:ascii="Arial" w:hAnsi="Arial" w:cs="Arial"/>
                <w:color w:val="000000"/>
                <w:sz w:val="20"/>
                <w:szCs w:val="20"/>
              </w:rPr>
            </w:pPr>
            <w:r>
              <w:rPr>
                <w:rFonts w:ascii="Arial" w:hAnsi="Arial" w:cs="Arial"/>
                <w:color w:val="000000"/>
                <w:kern w:val="0"/>
                <w:sz w:val="20"/>
                <w:szCs w:val="20"/>
                <w:lang w:bidi="ar"/>
              </w:rPr>
              <w:t>39.15</w:t>
            </w:r>
          </w:p>
        </w:tc>
        <w:tc>
          <w:tcPr>
            <w:tcW w:w="1824" w:type="dxa"/>
            <w:tcBorders>
              <w:top w:val="nil"/>
              <w:left w:val="nil"/>
              <w:bottom w:val="single" w:color="auto" w:sz="8" w:space="0"/>
              <w:right w:val="single" w:color="auto" w:sz="8" w:space="0"/>
            </w:tcBorders>
            <w:shd w:val="clear" w:color="auto" w:fill="auto"/>
            <w:vAlign w:val="bottom"/>
          </w:tcPr>
          <w:p w14:paraId="7B80B913">
            <w:pPr>
              <w:widowControl/>
              <w:spacing w:line="400" w:lineRule="exact"/>
              <w:jc w:val="center"/>
              <w:textAlignment w:val="bottom"/>
              <w:rPr>
                <w:rFonts w:ascii="Arial" w:hAnsi="Arial" w:cs="Arial"/>
                <w:color w:val="000000"/>
                <w:sz w:val="20"/>
                <w:szCs w:val="20"/>
              </w:rPr>
            </w:pPr>
            <w:r>
              <w:rPr>
                <w:rFonts w:ascii="Arial" w:hAnsi="Arial" w:cs="Arial"/>
                <w:color w:val="000000"/>
                <w:kern w:val="0"/>
                <w:sz w:val="20"/>
                <w:szCs w:val="20"/>
                <w:lang w:bidi="ar"/>
              </w:rPr>
              <w:t>25.00</w:t>
            </w:r>
          </w:p>
        </w:tc>
        <w:tc>
          <w:tcPr>
            <w:tcW w:w="1335" w:type="dxa"/>
            <w:tcBorders>
              <w:top w:val="nil"/>
              <w:left w:val="nil"/>
              <w:bottom w:val="single" w:color="auto" w:sz="8" w:space="0"/>
              <w:right w:val="single" w:color="auto" w:sz="8" w:space="0"/>
            </w:tcBorders>
            <w:shd w:val="clear" w:color="auto" w:fill="auto"/>
            <w:vAlign w:val="bottom"/>
          </w:tcPr>
          <w:p w14:paraId="1448FE13">
            <w:pPr>
              <w:widowControl/>
              <w:spacing w:line="400" w:lineRule="exact"/>
              <w:jc w:val="center"/>
              <w:textAlignment w:val="bottom"/>
              <w:rPr>
                <w:rFonts w:ascii="Arial" w:hAnsi="Arial" w:cs="Arial"/>
                <w:color w:val="000000"/>
                <w:sz w:val="20"/>
                <w:szCs w:val="20"/>
              </w:rPr>
            </w:pPr>
            <w:r>
              <w:rPr>
                <w:rFonts w:ascii="Arial" w:hAnsi="Arial" w:cs="Arial"/>
                <w:color w:val="000000"/>
                <w:kern w:val="0"/>
                <w:sz w:val="20"/>
                <w:szCs w:val="20"/>
                <w:lang w:bidi="ar"/>
              </w:rPr>
              <w:t>63.86%</w:t>
            </w:r>
          </w:p>
        </w:tc>
      </w:tr>
      <w:tr w14:paraId="2BC2DD3C">
        <w:tblPrEx>
          <w:tblCellMar>
            <w:top w:w="0" w:type="dxa"/>
            <w:left w:w="108" w:type="dxa"/>
            <w:bottom w:w="0" w:type="dxa"/>
            <w:right w:w="108" w:type="dxa"/>
          </w:tblCellMar>
        </w:tblPrEx>
        <w:trPr>
          <w:trHeight w:val="285" w:hRule="atLeast"/>
          <w:jc w:val="center"/>
        </w:trPr>
        <w:tc>
          <w:tcPr>
            <w:tcW w:w="2841" w:type="dxa"/>
            <w:tcBorders>
              <w:top w:val="nil"/>
              <w:left w:val="single" w:color="auto" w:sz="8" w:space="0"/>
              <w:bottom w:val="single" w:color="auto" w:sz="8" w:space="0"/>
              <w:right w:val="single" w:color="auto" w:sz="8" w:space="0"/>
            </w:tcBorders>
            <w:shd w:val="clear" w:color="auto" w:fill="auto"/>
            <w:vAlign w:val="center"/>
          </w:tcPr>
          <w:p w14:paraId="10E5EA58">
            <w:pPr>
              <w:widowControl/>
              <w:spacing w:line="400" w:lineRule="exact"/>
              <w:jc w:val="left"/>
              <w:rPr>
                <w:rFonts w:ascii="仿宋_GB2312" w:hAnsi="Arial" w:eastAsia="仿宋_GB2312" w:cs="Arial"/>
                <w:color w:val="000000"/>
                <w:kern w:val="0"/>
                <w:szCs w:val="21"/>
              </w:rPr>
            </w:pPr>
            <w:r>
              <w:rPr>
                <w:rFonts w:hint="eastAsia" w:ascii="仿宋_GB2312" w:hAnsi="Arial" w:eastAsia="仿宋_GB2312" w:cs="Arial"/>
                <w:color w:val="000000"/>
                <w:kern w:val="0"/>
                <w:szCs w:val="21"/>
              </w:rPr>
              <w:t>项目支出</w:t>
            </w:r>
          </w:p>
        </w:tc>
        <w:tc>
          <w:tcPr>
            <w:tcW w:w="1844" w:type="dxa"/>
            <w:tcBorders>
              <w:top w:val="nil"/>
              <w:left w:val="nil"/>
              <w:bottom w:val="single" w:color="auto" w:sz="8" w:space="0"/>
              <w:right w:val="single" w:color="auto" w:sz="8" w:space="0"/>
            </w:tcBorders>
            <w:shd w:val="clear" w:color="auto" w:fill="auto"/>
            <w:vAlign w:val="bottom"/>
          </w:tcPr>
          <w:p w14:paraId="5F5BF8A0">
            <w:pPr>
              <w:widowControl/>
              <w:spacing w:line="400" w:lineRule="exact"/>
              <w:jc w:val="center"/>
              <w:textAlignment w:val="bottom"/>
              <w:rPr>
                <w:rFonts w:ascii="Arial" w:hAnsi="Arial" w:cs="Arial"/>
                <w:color w:val="000000"/>
                <w:sz w:val="20"/>
                <w:szCs w:val="20"/>
              </w:rPr>
            </w:pPr>
            <w:r>
              <w:rPr>
                <w:rFonts w:ascii="Arial" w:hAnsi="Arial" w:cs="Arial"/>
                <w:color w:val="000000"/>
                <w:kern w:val="0"/>
                <w:sz w:val="20"/>
                <w:szCs w:val="20"/>
                <w:lang w:bidi="ar"/>
              </w:rPr>
              <w:t>42,507.85</w:t>
            </w:r>
          </w:p>
        </w:tc>
        <w:tc>
          <w:tcPr>
            <w:tcW w:w="2058" w:type="dxa"/>
            <w:tcBorders>
              <w:top w:val="nil"/>
              <w:left w:val="nil"/>
              <w:bottom w:val="single" w:color="auto" w:sz="8" w:space="0"/>
              <w:right w:val="single" w:color="auto" w:sz="8" w:space="0"/>
            </w:tcBorders>
            <w:shd w:val="clear" w:color="auto" w:fill="auto"/>
            <w:vAlign w:val="bottom"/>
          </w:tcPr>
          <w:p w14:paraId="665DF6FA">
            <w:pPr>
              <w:widowControl/>
              <w:spacing w:line="400" w:lineRule="exact"/>
              <w:jc w:val="center"/>
              <w:textAlignment w:val="bottom"/>
              <w:rPr>
                <w:rFonts w:ascii="Arial" w:hAnsi="Arial" w:cs="Arial"/>
                <w:color w:val="000000"/>
                <w:sz w:val="20"/>
                <w:szCs w:val="20"/>
              </w:rPr>
            </w:pPr>
            <w:r>
              <w:rPr>
                <w:rFonts w:ascii="Arial" w:hAnsi="Arial" w:cs="Arial"/>
                <w:color w:val="000000"/>
                <w:kern w:val="0"/>
                <w:sz w:val="20"/>
                <w:szCs w:val="20"/>
                <w:lang w:bidi="ar"/>
              </w:rPr>
              <w:t>80,454.91</w:t>
            </w:r>
          </w:p>
        </w:tc>
        <w:tc>
          <w:tcPr>
            <w:tcW w:w="1824" w:type="dxa"/>
            <w:tcBorders>
              <w:top w:val="nil"/>
              <w:left w:val="nil"/>
              <w:bottom w:val="single" w:color="auto" w:sz="8" w:space="0"/>
              <w:right w:val="single" w:color="auto" w:sz="8" w:space="0"/>
            </w:tcBorders>
            <w:shd w:val="clear" w:color="auto" w:fill="auto"/>
            <w:vAlign w:val="bottom"/>
          </w:tcPr>
          <w:p w14:paraId="3DD8C164">
            <w:pPr>
              <w:widowControl/>
              <w:spacing w:line="400" w:lineRule="exact"/>
              <w:jc w:val="center"/>
              <w:textAlignment w:val="bottom"/>
              <w:rPr>
                <w:rFonts w:ascii="Arial" w:hAnsi="Arial" w:cs="Arial"/>
                <w:color w:val="000000"/>
                <w:sz w:val="20"/>
                <w:szCs w:val="20"/>
              </w:rPr>
            </w:pPr>
            <w:r>
              <w:rPr>
                <w:rFonts w:ascii="Arial" w:hAnsi="Arial" w:cs="Arial"/>
                <w:color w:val="000000"/>
                <w:kern w:val="0"/>
                <w:sz w:val="20"/>
                <w:szCs w:val="20"/>
                <w:lang w:bidi="ar"/>
              </w:rPr>
              <w:t>78,629.50</w:t>
            </w:r>
          </w:p>
        </w:tc>
        <w:tc>
          <w:tcPr>
            <w:tcW w:w="1335" w:type="dxa"/>
            <w:tcBorders>
              <w:top w:val="nil"/>
              <w:left w:val="nil"/>
              <w:bottom w:val="single" w:color="auto" w:sz="8" w:space="0"/>
              <w:right w:val="single" w:color="auto" w:sz="8" w:space="0"/>
            </w:tcBorders>
            <w:shd w:val="clear" w:color="auto" w:fill="auto"/>
            <w:vAlign w:val="bottom"/>
          </w:tcPr>
          <w:p w14:paraId="3F7FFABC">
            <w:pPr>
              <w:widowControl/>
              <w:spacing w:line="400" w:lineRule="exact"/>
              <w:jc w:val="center"/>
              <w:textAlignment w:val="bottom"/>
              <w:rPr>
                <w:rFonts w:ascii="Arial" w:hAnsi="Arial" w:cs="Arial"/>
                <w:color w:val="000000"/>
                <w:sz w:val="20"/>
                <w:szCs w:val="20"/>
              </w:rPr>
            </w:pPr>
            <w:r>
              <w:rPr>
                <w:rFonts w:ascii="Arial" w:hAnsi="Arial" w:cs="Arial"/>
                <w:color w:val="000000"/>
                <w:kern w:val="0"/>
                <w:sz w:val="20"/>
                <w:szCs w:val="20"/>
                <w:lang w:bidi="ar"/>
              </w:rPr>
              <w:t>97.73%</w:t>
            </w:r>
          </w:p>
        </w:tc>
      </w:tr>
      <w:tr w14:paraId="2474EE5F">
        <w:tblPrEx>
          <w:tblCellMar>
            <w:top w:w="0" w:type="dxa"/>
            <w:left w:w="108" w:type="dxa"/>
            <w:bottom w:w="0" w:type="dxa"/>
            <w:right w:w="108" w:type="dxa"/>
          </w:tblCellMar>
        </w:tblPrEx>
        <w:trPr>
          <w:trHeight w:val="285" w:hRule="atLeast"/>
          <w:jc w:val="center"/>
        </w:trPr>
        <w:tc>
          <w:tcPr>
            <w:tcW w:w="2841" w:type="dxa"/>
            <w:tcBorders>
              <w:top w:val="nil"/>
              <w:left w:val="single" w:color="auto" w:sz="8" w:space="0"/>
              <w:bottom w:val="single" w:color="auto" w:sz="8" w:space="0"/>
              <w:right w:val="single" w:color="auto" w:sz="8" w:space="0"/>
            </w:tcBorders>
            <w:shd w:val="clear" w:color="auto" w:fill="auto"/>
            <w:vAlign w:val="center"/>
          </w:tcPr>
          <w:p w14:paraId="6DADFF97">
            <w:pPr>
              <w:widowControl/>
              <w:spacing w:line="400" w:lineRule="exact"/>
              <w:jc w:val="center"/>
              <w:rPr>
                <w:rFonts w:ascii="仿宋_GB2312" w:hAnsi="Arial" w:eastAsia="仿宋_GB2312" w:cs="Arial"/>
                <w:color w:val="000000"/>
                <w:kern w:val="0"/>
                <w:szCs w:val="21"/>
              </w:rPr>
            </w:pPr>
            <w:r>
              <w:rPr>
                <w:rFonts w:hint="eastAsia" w:ascii="仿宋_GB2312" w:hAnsi="Arial" w:eastAsia="仿宋_GB2312" w:cs="Arial"/>
                <w:color w:val="000000"/>
                <w:kern w:val="0"/>
                <w:szCs w:val="21"/>
              </w:rPr>
              <w:t>总    计</w:t>
            </w:r>
          </w:p>
        </w:tc>
        <w:tc>
          <w:tcPr>
            <w:tcW w:w="1844" w:type="dxa"/>
            <w:tcBorders>
              <w:top w:val="nil"/>
              <w:left w:val="nil"/>
              <w:bottom w:val="single" w:color="auto" w:sz="8" w:space="0"/>
              <w:right w:val="single" w:color="auto" w:sz="8" w:space="0"/>
            </w:tcBorders>
            <w:shd w:val="clear" w:color="auto" w:fill="auto"/>
            <w:vAlign w:val="bottom"/>
          </w:tcPr>
          <w:p w14:paraId="473337EB">
            <w:pPr>
              <w:widowControl/>
              <w:spacing w:line="400" w:lineRule="exact"/>
              <w:jc w:val="center"/>
              <w:textAlignment w:val="bottom"/>
              <w:rPr>
                <w:rFonts w:ascii="Arial" w:hAnsi="Arial" w:cs="Arial"/>
                <w:color w:val="000000"/>
                <w:sz w:val="20"/>
                <w:szCs w:val="20"/>
              </w:rPr>
            </w:pPr>
            <w:r>
              <w:rPr>
                <w:rFonts w:ascii="Arial" w:hAnsi="Arial" w:cs="Arial"/>
                <w:color w:val="000000"/>
                <w:kern w:val="0"/>
                <w:sz w:val="20"/>
                <w:szCs w:val="20"/>
                <w:lang w:bidi="ar"/>
              </w:rPr>
              <w:t>43,189.21</w:t>
            </w:r>
          </w:p>
        </w:tc>
        <w:tc>
          <w:tcPr>
            <w:tcW w:w="2058" w:type="dxa"/>
            <w:tcBorders>
              <w:top w:val="nil"/>
              <w:left w:val="nil"/>
              <w:bottom w:val="single" w:color="auto" w:sz="8" w:space="0"/>
              <w:right w:val="single" w:color="auto" w:sz="8" w:space="0"/>
            </w:tcBorders>
            <w:shd w:val="clear" w:color="auto" w:fill="auto"/>
            <w:vAlign w:val="bottom"/>
          </w:tcPr>
          <w:p w14:paraId="12F51A26">
            <w:pPr>
              <w:widowControl/>
              <w:spacing w:line="400" w:lineRule="exact"/>
              <w:jc w:val="center"/>
              <w:textAlignment w:val="bottom"/>
              <w:rPr>
                <w:rFonts w:ascii="Arial" w:hAnsi="Arial" w:cs="Arial"/>
                <w:color w:val="000000"/>
                <w:sz w:val="20"/>
                <w:szCs w:val="20"/>
              </w:rPr>
            </w:pPr>
            <w:r>
              <w:rPr>
                <w:rFonts w:ascii="Arial" w:hAnsi="Arial" w:cs="Arial"/>
                <w:color w:val="000000"/>
                <w:kern w:val="0"/>
                <w:sz w:val="20"/>
                <w:szCs w:val="20"/>
                <w:lang w:bidi="ar"/>
              </w:rPr>
              <w:t>81,164.95</w:t>
            </w:r>
          </w:p>
        </w:tc>
        <w:tc>
          <w:tcPr>
            <w:tcW w:w="1824" w:type="dxa"/>
            <w:tcBorders>
              <w:top w:val="nil"/>
              <w:left w:val="nil"/>
              <w:bottom w:val="single" w:color="auto" w:sz="8" w:space="0"/>
              <w:right w:val="single" w:color="auto" w:sz="8" w:space="0"/>
            </w:tcBorders>
            <w:shd w:val="clear" w:color="auto" w:fill="auto"/>
            <w:vAlign w:val="bottom"/>
          </w:tcPr>
          <w:p w14:paraId="5FF8ED3C">
            <w:pPr>
              <w:widowControl/>
              <w:spacing w:line="400" w:lineRule="exact"/>
              <w:jc w:val="center"/>
              <w:textAlignment w:val="bottom"/>
              <w:rPr>
                <w:rFonts w:ascii="Arial" w:hAnsi="Arial" w:cs="Arial"/>
                <w:color w:val="000000"/>
                <w:sz w:val="20"/>
                <w:szCs w:val="20"/>
              </w:rPr>
            </w:pPr>
            <w:r>
              <w:rPr>
                <w:rFonts w:ascii="Arial" w:hAnsi="Arial" w:cs="Arial"/>
                <w:color w:val="000000"/>
                <w:kern w:val="0"/>
                <w:sz w:val="20"/>
                <w:szCs w:val="20"/>
                <w:lang w:bidi="ar"/>
              </w:rPr>
              <w:t>79,260.57</w:t>
            </w:r>
          </w:p>
        </w:tc>
        <w:tc>
          <w:tcPr>
            <w:tcW w:w="1335" w:type="dxa"/>
            <w:tcBorders>
              <w:top w:val="nil"/>
              <w:left w:val="nil"/>
              <w:bottom w:val="single" w:color="auto" w:sz="8" w:space="0"/>
              <w:right w:val="single" w:color="auto" w:sz="8" w:space="0"/>
            </w:tcBorders>
            <w:shd w:val="clear" w:color="auto" w:fill="auto"/>
            <w:vAlign w:val="center"/>
          </w:tcPr>
          <w:p w14:paraId="6BB1F0EF">
            <w:pPr>
              <w:widowControl/>
              <w:spacing w:line="400" w:lineRule="exact"/>
              <w:jc w:val="center"/>
              <w:rPr>
                <w:color w:val="000000"/>
                <w:kern w:val="0"/>
                <w:szCs w:val="21"/>
              </w:rPr>
            </w:pPr>
            <w:r>
              <w:rPr>
                <w:rFonts w:hint="eastAsia"/>
                <w:color w:val="000000"/>
                <w:kern w:val="0"/>
                <w:szCs w:val="21"/>
              </w:rPr>
              <w:t>97.65%</w:t>
            </w:r>
          </w:p>
        </w:tc>
      </w:tr>
    </w:tbl>
    <w:p w14:paraId="34E97B91">
      <w:pPr>
        <w:adjustRightInd w:val="0"/>
        <w:snapToGrid w:val="0"/>
        <w:spacing w:line="560" w:lineRule="exact"/>
        <w:ind w:firstLine="640" w:firstLineChars="200"/>
        <w:rPr>
          <w:rFonts w:ascii="仿宋_GB2312" w:eastAsia="仿宋_GB2312"/>
          <w:color w:val="000000"/>
          <w:kern w:val="0"/>
          <w:sz w:val="32"/>
          <w:szCs w:val="32"/>
        </w:rPr>
      </w:pPr>
      <w:r>
        <w:rPr>
          <w:rFonts w:hint="eastAsia" w:ascii="仿宋_GB2312" w:eastAsia="仿宋_GB2312"/>
          <w:color w:val="000000"/>
          <w:kern w:val="0"/>
          <w:sz w:val="32"/>
          <w:szCs w:val="32"/>
        </w:rPr>
        <w:t>①日常公用经费预算执行情况分析</w:t>
      </w:r>
    </w:p>
    <w:p w14:paraId="7C364755">
      <w:pPr>
        <w:adjustRightInd w:val="0"/>
        <w:snapToGrid w:val="0"/>
        <w:spacing w:line="560" w:lineRule="exact"/>
        <w:ind w:firstLine="640" w:firstLineChars="200"/>
        <w:rPr>
          <w:rFonts w:ascii="仿宋_GB2312" w:eastAsia="仿宋_GB2312"/>
          <w:color w:val="000000"/>
          <w:kern w:val="0"/>
          <w:sz w:val="32"/>
          <w:szCs w:val="32"/>
        </w:rPr>
      </w:pPr>
      <w:r>
        <w:rPr>
          <w:rFonts w:hint="eastAsia" w:ascii="仿宋_GB2312" w:eastAsia="仿宋_GB2312"/>
          <w:color w:val="000000"/>
          <w:kern w:val="0"/>
          <w:sz w:val="32"/>
          <w:szCs w:val="32"/>
        </w:rPr>
        <w:t>2021年，我局日常公用经费调整后年度总指标为39.15万元，实际支出25.00万元，日常公用经费控制率为63.86%。</w:t>
      </w:r>
    </w:p>
    <w:p w14:paraId="495B8A07">
      <w:pPr>
        <w:adjustRightInd w:val="0"/>
        <w:snapToGrid w:val="0"/>
        <w:spacing w:line="560" w:lineRule="exact"/>
        <w:ind w:firstLine="640" w:firstLineChars="200"/>
        <w:rPr>
          <w:rFonts w:ascii="仿宋_GB2312" w:eastAsia="仿宋_GB2312"/>
          <w:color w:val="000000"/>
          <w:kern w:val="0"/>
          <w:sz w:val="32"/>
          <w:szCs w:val="32"/>
        </w:rPr>
      </w:pPr>
      <w:r>
        <w:rPr>
          <w:rFonts w:hint="eastAsia" w:ascii="仿宋_GB2312" w:eastAsia="仿宋_GB2312"/>
          <w:color w:val="000000"/>
          <w:kern w:val="0"/>
          <w:sz w:val="32"/>
          <w:szCs w:val="32"/>
        </w:rPr>
        <w:t>②“三公”经费预算执行情况分析</w:t>
      </w:r>
    </w:p>
    <w:p w14:paraId="57CB1C03">
      <w:pPr>
        <w:adjustRightInd w:val="0"/>
        <w:snapToGrid w:val="0"/>
        <w:spacing w:line="560" w:lineRule="exact"/>
        <w:ind w:firstLine="640" w:firstLineChars="200"/>
        <w:rPr>
          <w:rFonts w:ascii="仿宋_GB2312" w:eastAsia="仿宋_GB2312"/>
          <w:color w:val="000000"/>
          <w:kern w:val="0"/>
          <w:sz w:val="32"/>
          <w:szCs w:val="32"/>
        </w:rPr>
      </w:pPr>
      <w:r>
        <w:rPr>
          <w:rFonts w:hint="eastAsia" w:ascii="仿宋_GB2312" w:eastAsia="仿宋_GB2312"/>
          <w:color w:val="000000"/>
          <w:kern w:val="0"/>
          <w:sz w:val="32"/>
          <w:szCs w:val="32"/>
        </w:rPr>
        <w:t>2021年我局因公出国（境）经费预算数与实际支出数均为零；公务用车购置及运行维护费2021年预算数为3.67万元，实际支出3.15万元；公务接待费2021年预算数为5.00万元，实际支出1.64万元。我局本着厉行勤俭节约、反对铺张浪费的原则，严控“三公”经费支出，经费控制较好。</w:t>
      </w:r>
    </w:p>
    <w:p w14:paraId="25FE8764">
      <w:pPr>
        <w:adjustRightInd w:val="0"/>
        <w:snapToGrid w:val="0"/>
        <w:spacing w:line="560" w:lineRule="exact"/>
        <w:ind w:firstLine="640" w:firstLineChars="200"/>
        <w:rPr>
          <w:rFonts w:ascii="仿宋_GB2312" w:eastAsia="仿宋_GB2312"/>
          <w:color w:val="000000"/>
          <w:kern w:val="0"/>
          <w:sz w:val="32"/>
          <w:szCs w:val="32"/>
        </w:rPr>
      </w:pPr>
      <w:r>
        <w:rPr>
          <w:rFonts w:hint="eastAsia" w:ascii="仿宋_GB2312" w:eastAsia="仿宋_GB2312"/>
          <w:color w:val="000000"/>
          <w:kern w:val="0"/>
          <w:sz w:val="32"/>
          <w:szCs w:val="32"/>
        </w:rPr>
        <w:t>（2）财政资金结余结转情况</w:t>
      </w:r>
    </w:p>
    <w:p w14:paraId="309CDB2D">
      <w:pPr>
        <w:adjustRightInd w:val="0"/>
        <w:snapToGrid w:val="0"/>
        <w:spacing w:line="560" w:lineRule="exact"/>
        <w:ind w:firstLine="640" w:firstLineChars="200"/>
        <w:rPr>
          <w:rFonts w:ascii="仿宋_GB2312" w:eastAsia="仿宋_GB2312"/>
          <w:color w:val="000000"/>
          <w:kern w:val="0"/>
          <w:sz w:val="32"/>
          <w:szCs w:val="32"/>
        </w:rPr>
      </w:pPr>
      <w:r>
        <w:rPr>
          <w:rFonts w:hint="eastAsia" w:ascii="仿宋_GB2312" w:eastAsia="仿宋_GB2312"/>
          <w:color w:val="000000"/>
          <w:kern w:val="0"/>
          <w:sz w:val="32"/>
          <w:szCs w:val="32"/>
        </w:rPr>
        <w:t>2021年年初预算数为43,189.21万元，调整预算数为81,164.95万元，年末决算数为79,260.57万元,年初财政拨款结转和结余决算数为0.00万元。</w:t>
      </w:r>
    </w:p>
    <w:p w14:paraId="0C910AA4">
      <w:pPr>
        <w:adjustRightInd w:val="0"/>
        <w:snapToGrid w:val="0"/>
        <w:spacing w:line="560" w:lineRule="exact"/>
        <w:ind w:firstLine="640" w:firstLineChars="200"/>
        <w:rPr>
          <w:rFonts w:ascii="仿宋_GB2312" w:eastAsia="仿宋_GB2312"/>
          <w:color w:val="000000"/>
          <w:kern w:val="0"/>
          <w:sz w:val="32"/>
          <w:szCs w:val="32"/>
        </w:rPr>
      </w:pPr>
      <w:r>
        <w:rPr>
          <w:rFonts w:hint="eastAsia" w:ascii="仿宋_GB2312" w:eastAsia="仿宋_GB2312"/>
          <w:color w:val="000000"/>
          <w:kern w:val="0"/>
          <w:sz w:val="32"/>
          <w:szCs w:val="32"/>
        </w:rPr>
        <w:t>（3）政府采购执行情况</w:t>
      </w:r>
    </w:p>
    <w:p w14:paraId="3351FF62">
      <w:pPr>
        <w:adjustRightInd w:val="0"/>
        <w:snapToGrid w:val="0"/>
        <w:spacing w:line="560" w:lineRule="exact"/>
        <w:ind w:firstLine="640" w:firstLineChars="200"/>
        <w:rPr>
          <w:rFonts w:ascii="仿宋_GB2312" w:eastAsia="仿宋_GB2312"/>
          <w:color w:val="000000"/>
          <w:kern w:val="0"/>
          <w:sz w:val="32"/>
          <w:szCs w:val="32"/>
        </w:rPr>
      </w:pPr>
      <w:r>
        <w:rPr>
          <w:rFonts w:hint="eastAsia" w:ascii="仿宋_GB2312" w:eastAsia="仿宋_GB2312"/>
          <w:color w:val="000000"/>
          <w:kern w:val="0"/>
          <w:sz w:val="32"/>
          <w:szCs w:val="32"/>
        </w:rPr>
        <w:t>2021年度我局政府采购预算数为1931.52万元，主要用于政府采购服务支出。截至2021年年末，政府采购实际支出</w:t>
      </w:r>
      <w:r>
        <w:rPr>
          <w:rFonts w:ascii="仿宋_GB2312" w:eastAsia="仿宋_GB2312"/>
          <w:color w:val="000000"/>
          <w:kern w:val="0"/>
          <w:sz w:val="32"/>
          <w:szCs w:val="32"/>
        </w:rPr>
        <w:t>730</w:t>
      </w:r>
      <w:r>
        <w:rPr>
          <w:rFonts w:hint="eastAsia" w:ascii="仿宋_GB2312" w:eastAsia="仿宋_GB2312"/>
          <w:color w:val="000000"/>
          <w:kern w:val="0"/>
          <w:sz w:val="32"/>
          <w:szCs w:val="32"/>
        </w:rPr>
        <w:t>.</w:t>
      </w:r>
      <w:r>
        <w:rPr>
          <w:rFonts w:ascii="仿宋_GB2312" w:eastAsia="仿宋_GB2312"/>
          <w:color w:val="000000"/>
          <w:kern w:val="0"/>
          <w:sz w:val="32"/>
          <w:szCs w:val="32"/>
        </w:rPr>
        <w:t>68</w:t>
      </w:r>
      <w:r>
        <w:rPr>
          <w:rFonts w:hint="eastAsia" w:ascii="仿宋_GB2312" w:eastAsia="仿宋_GB2312"/>
          <w:color w:val="000000"/>
          <w:kern w:val="0"/>
          <w:sz w:val="32"/>
          <w:szCs w:val="32"/>
        </w:rPr>
        <w:t xml:space="preserve">万元。 </w:t>
      </w:r>
    </w:p>
    <w:p w14:paraId="6BBF2937">
      <w:pPr>
        <w:adjustRightInd w:val="0"/>
        <w:snapToGrid w:val="0"/>
        <w:spacing w:line="560" w:lineRule="exact"/>
        <w:ind w:firstLine="640" w:firstLineChars="200"/>
        <w:rPr>
          <w:rFonts w:ascii="仿宋_GB2312" w:eastAsia="仿宋_GB2312"/>
          <w:color w:val="000000"/>
          <w:kern w:val="0"/>
          <w:sz w:val="32"/>
          <w:szCs w:val="32"/>
        </w:rPr>
      </w:pPr>
      <w:r>
        <w:rPr>
          <w:rFonts w:hint="eastAsia" w:ascii="仿宋_GB2312" w:eastAsia="仿宋_GB2312"/>
          <w:color w:val="000000"/>
          <w:kern w:val="0"/>
          <w:sz w:val="32"/>
          <w:szCs w:val="32"/>
        </w:rPr>
        <w:t>（4）财务合规性</w:t>
      </w:r>
    </w:p>
    <w:p w14:paraId="1F9D2249">
      <w:pPr>
        <w:adjustRightInd w:val="0"/>
        <w:snapToGrid w:val="0"/>
        <w:spacing w:line="560" w:lineRule="exact"/>
        <w:ind w:firstLine="640" w:firstLineChars="200"/>
        <w:rPr>
          <w:rFonts w:ascii="仿宋_GB2312" w:eastAsia="仿宋_GB2312"/>
          <w:color w:val="000000"/>
          <w:kern w:val="0"/>
          <w:sz w:val="32"/>
          <w:szCs w:val="32"/>
        </w:rPr>
      </w:pPr>
      <w:r>
        <w:rPr>
          <w:rFonts w:hint="eastAsia" w:ascii="仿宋_GB2312" w:eastAsia="仿宋_GB2312"/>
          <w:color w:val="000000"/>
          <w:kern w:val="0"/>
          <w:sz w:val="32"/>
          <w:szCs w:val="32"/>
        </w:rPr>
        <w:t>我局2021年度所有支出均严格按照我局财务管理制度执行，不存在虚列、截留、挤占、挪用项目资金以及其他不符合制度规定的事项发生。</w:t>
      </w:r>
    </w:p>
    <w:p w14:paraId="6A39155F">
      <w:pPr>
        <w:adjustRightInd w:val="0"/>
        <w:snapToGrid w:val="0"/>
        <w:spacing w:line="560" w:lineRule="exact"/>
        <w:ind w:firstLine="640" w:firstLineChars="200"/>
        <w:rPr>
          <w:rFonts w:ascii="仿宋_GB2312" w:eastAsia="仿宋_GB2312"/>
          <w:color w:val="000000"/>
          <w:kern w:val="0"/>
          <w:sz w:val="32"/>
          <w:szCs w:val="32"/>
        </w:rPr>
      </w:pPr>
      <w:r>
        <w:rPr>
          <w:rFonts w:hint="eastAsia" w:ascii="仿宋_GB2312" w:eastAsia="仿宋_GB2312"/>
          <w:color w:val="000000"/>
          <w:kern w:val="0"/>
          <w:sz w:val="32"/>
          <w:szCs w:val="32"/>
        </w:rPr>
        <w:t>（5）预决算信息公开</w:t>
      </w:r>
    </w:p>
    <w:p w14:paraId="2AF5C8F6">
      <w:pPr>
        <w:adjustRightInd w:val="0"/>
        <w:snapToGrid w:val="0"/>
        <w:spacing w:line="560" w:lineRule="exact"/>
        <w:ind w:firstLine="640" w:firstLineChars="200"/>
        <w:rPr>
          <w:rFonts w:ascii="仿宋_GB2312" w:eastAsia="仿宋_GB2312"/>
          <w:color w:val="000000"/>
          <w:kern w:val="0"/>
          <w:sz w:val="32"/>
          <w:szCs w:val="32"/>
        </w:rPr>
      </w:pPr>
      <w:r>
        <w:rPr>
          <w:rFonts w:hint="eastAsia" w:ascii="仿宋_GB2312" w:eastAsia="仿宋_GB2312"/>
          <w:color w:val="000000"/>
          <w:kern w:val="0"/>
          <w:sz w:val="32"/>
          <w:szCs w:val="32"/>
        </w:rPr>
        <w:t>2021年度我局已按照相关的要求在福田区政府在线网站公示，2021年度部门决算将在上级下达批复文件后的20日内于福田区政府在线网站进行信息公开。</w:t>
      </w:r>
    </w:p>
    <w:p w14:paraId="322B4AFA">
      <w:pPr>
        <w:adjustRightInd w:val="0"/>
        <w:snapToGrid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项目</w:t>
      </w:r>
      <w:r>
        <w:rPr>
          <w:rFonts w:ascii="仿宋_GB2312" w:hAnsi="仿宋_GB2312" w:eastAsia="仿宋_GB2312" w:cs="仿宋_GB2312"/>
          <w:sz w:val="32"/>
          <w:szCs w:val="32"/>
        </w:rPr>
        <w:t>管理</w:t>
      </w:r>
    </w:p>
    <w:p w14:paraId="41E828D8">
      <w:pPr>
        <w:adjustRightInd w:val="0"/>
        <w:snapToGrid w:val="0"/>
        <w:spacing w:line="560" w:lineRule="exact"/>
        <w:ind w:firstLine="640" w:firstLineChars="200"/>
        <w:rPr>
          <w:rFonts w:ascii="仿宋_GB2312" w:hAnsi="楷体_GB2312" w:eastAsia="仿宋_GB2312" w:cs="楷体_GB2312"/>
          <w:sz w:val="32"/>
          <w:szCs w:val="32"/>
        </w:rPr>
      </w:pPr>
      <w:r>
        <w:rPr>
          <w:rFonts w:hint="eastAsia" w:ascii="仿宋_GB2312" w:hAnsi="楷体_GB2312" w:eastAsia="仿宋_GB2312" w:cs="楷体_GB2312"/>
          <w:sz w:val="32"/>
          <w:szCs w:val="32"/>
        </w:rPr>
        <w:t>我局2021年</w:t>
      </w:r>
      <w:r>
        <w:rPr>
          <w:rFonts w:hint="eastAsia" w:ascii="仿宋_GB2312" w:hAnsi="仿宋_GB2312" w:eastAsia="仿宋_GB2312" w:cs="仿宋_GB2312"/>
          <w:sz w:val="32"/>
          <w:szCs w:val="32"/>
        </w:rPr>
        <w:t>全面预算绩效管理，</w:t>
      </w:r>
      <w:r>
        <w:rPr>
          <w:rFonts w:hint="eastAsia" w:ascii="仿宋_GB2312" w:hAnsi="楷体_GB2312" w:eastAsia="仿宋_GB2312" w:cs="楷体_GB2312"/>
          <w:sz w:val="32"/>
          <w:szCs w:val="32"/>
        </w:rPr>
        <w:t>覆盖科技交流合作、科技扶持、科创资源管理、英才荟专项经费、科普活动等</w:t>
      </w:r>
      <w:r>
        <w:rPr>
          <w:rFonts w:ascii="仿宋_GB2312" w:hAnsi="楷体_GB2312" w:eastAsia="仿宋_GB2312" w:cs="楷体_GB2312"/>
          <w:sz w:val="32"/>
          <w:szCs w:val="32"/>
        </w:rPr>
        <w:t>共计</w:t>
      </w:r>
      <w:r>
        <w:rPr>
          <w:rFonts w:hint="eastAsia" w:ascii="仿宋_GB2312" w:hAnsi="楷体_GB2312" w:eastAsia="仿宋_GB2312" w:cs="楷体_GB2312"/>
          <w:sz w:val="32"/>
          <w:szCs w:val="32"/>
        </w:rPr>
        <w:t>18个</w:t>
      </w:r>
      <w:r>
        <w:rPr>
          <w:rFonts w:ascii="仿宋_GB2312" w:hAnsi="楷体_GB2312" w:eastAsia="仿宋_GB2312" w:cs="楷体_GB2312"/>
          <w:sz w:val="32"/>
          <w:szCs w:val="32"/>
        </w:rPr>
        <w:t>项目</w:t>
      </w:r>
      <w:r>
        <w:rPr>
          <w:rFonts w:hint="eastAsia" w:ascii="仿宋_GB2312" w:hAnsi="楷体_GB2312" w:eastAsia="仿宋_GB2312" w:cs="楷体_GB2312"/>
          <w:sz w:val="32"/>
          <w:szCs w:val="32"/>
        </w:rPr>
        <w:t>。</w:t>
      </w:r>
    </w:p>
    <w:p w14:paraId="0273C003">
      <w:pPr>
        <w:adjustRightInd w:val="0"/>
        <w:snapToGrid w:val="0"/>
        <w:spacing w:line="560" w:lineRule="exact"/>
        <w:ind w:firstLine="640" w:firstLineChars="200"/>
        <w:rPr>
          <w:rFonts w:ascii="仿宋_GB2312" w:hAnsi="楷体_GB2312" w:eastAsia="仿宋_GB2312" w:cs="楷体_GB2312"/>
          <w:sz w:val="32"/>
          <w:szCs w:val="32"/>
        </w:rPr>
      </w:pPr>
      <w:r>
        <w:rPr>
          <w:rFonts w:hint="eastAsia" w:ascii="仿宋_GB2312" w:hAnsi="楷体_GB2312" w:eastAsia="仿宋_GB2312" w:cs="楷体_GB2312"/>
          <w:sz w:val="32"/>
          <w:szCs w:val="32"/>
        </w:rPr>
        <w:t>2021年</w:t>
      </w:r>
      <w:r>
        <w:rPr>
          <w:rFonts w:ascii="仿宋_GB2312" w:hAnsi="楷体_GB2312" w:eastAsia="仿宋_GB2312" w:cs="楷体_GB2312"/>
          <w:sz w:val="32"/>
          <w:szCs w:val="32"/>
        </w:rPr>
        <w:t>项目</w:t>
      </w:r>
      <w:r>
        <w:rPr>
          <w:rFonts w:hint="eastAsia" w:ascii="仿宋_GB2312" w:hAnsi="楷体_GB2312" w:eastAsia="仿宋_GB2312" w:cs="楷体_GB2312"/>
          <w:sz w:val="32"/>
          <w:szCs w:val="32"/>
        </w:rPr>
        <w:t>预算</w:t>
      </w:r>
      <w:r>
        <w:rPr>
          <w:rFonts w:ascii="仿宋_GB2312" w:hAnsi="楷体_GB2312" w:eastAsia="仿宋_GB2312" w:cs="楷体_GB2312"/>
          <w:sz w:val="32"/>
          <w:szCs w:val="32"/>
        </w:rPr>
        <w:t>总指标</w:t>
      </w:r>
      <w:r>
        <w:rPr>
          <w:rFonts w:hint="eastAsia" w:ascii="仿宋_GB2312" w:eastAsia="仿宋_GB2312"/>
          <w:color w:val="000000"/>
          <w:kern w:val="0"/>
          <w:sz w:val="32"/>
          <w:szCs w:val="32"/>
        </w:rPr>
        <w:t>81,164.95</w:t>
      </w:r>
      <w:r>
        <w:rPr>
          <w:rFonts w:hint="eastAsia" w:ascii="仿宋_GB2312" w:hAnsi="楷体_GB2312" w:eastAsia="仿宋_GB2312" w:cs="楷体_GB2312"/>
          <w:sz w:val="32"/>
          <w:szCs w:val="32"/>
        </w:rPr>
        <w:t>万元</w:t>
      </w:r>
      <w:r>
        <w:rPr>
          <w:rFonts w:ascii="仿宋_GB2312" w:hAnsi="楷体_GB2312" w:eastAsia="仿宋_GB2312" w:cs="楷体_GB2312"/>
          <w:sz w:val="32"/>
          <w:szCs w:val="32"/>
        </w:rPr>
        <w:t>，</w:t>
      </w:r>
      <w:r>
        <w:rPr>
          <w:rFonts w:hint="eastAsia" w:ascii="仿宋_GB2312" w:hAnsi="楷体_GB2312" w:eastAsia="仿宋_GB2312" w:cs="楷体_GB2312"/>
          <w:sz w:val="32"/>
          <w:szCs w:val="32"/>
        </w:rPr>
        <w:t>实际支出</w:t>
      </w:r>
      <w:r>
        <w:rPr>
          <w:rFonts w:hint="eastAsia" w:ascii="仿宋_GB2312" w:eastAsia="仿宋_GB2312"/>
          <w:color w:val="000000"/>
          <w:kern w:val="0"/>
          <w:sz w:val="32"/>
          <w:szCs w:val="32"/>
        </w:rPr>
        <w:t>79,260.57</w:t>
      </w:r>
      <w:r>
        <w:rPr>
          <w:rFonts w:hint="eastAsia" w:ascii="仿宋_GB2312" w:hAnsi="楷体_GB2312" w:eastAsia="仿宋_GB2312" w:cs="楷体_GB2312"/>
          <w:sz w:val="32"/>
          <w:szCs w:val="32"/>
        </w:rPr>
        <w:t>万元，</w:t>
      </w:r>
      <w:r>
        <w:rPr>
          <w:rFonts w:ascii="仿宋_GB2312" w:hAnsi="楷体_GB2312" w:eastAsia="仿宋_GB2312" w:cs="楷体_GB2312"/>
          <w:sz w:val="32"/>
          <w:szCs w:val="32"/>
        </w:rPr>
        <w:t>预算执行率</w:t>
      </w:r>
      <w:r>
        <w:rPr>
          <w:rFonts w:hint="eastAsia" w:ascii="仿宋_GB2312" w:hAnsi="楷体_GB2312" w:eastAsia="仿宋_GB2312" w:cs="楷体_GB2312"/>
          <w:sz w:val="32"/>
          <w:szCs w:val="32"/>
        </w:rPr>
        <w:t>97.65%</w:t>
      </w:r>
      <w:r>
        <w:rPr>
          <w:rFonts w:ascii="仿宋_GB2312" w:hAnsi="楷体_GB2312" w:eastAsia="仿宋_GB2312" w:cs="楷体_GB2312"/>
          <w:sz w:val="32"/>
          <w:szCs w:val="32"/>
        </w:rPr>
        <w:t>，较好的完成了全年项目计划</w:t>
      </w:r>
      <w:r>
        <w:rPr>
          <w:rFonts w:hint="eastAsia" w:ascii="仿宋_GB2312" w:hAnsi="楷体_GB2312" w:eastAsia="仿宋_GB2312" w:cs="楷体_GB2312"/>
          <w:sz w:val="32"/>
          <w:szCs w:val="32"/>
        </w:rPr>
        <w:t>。</w:t>
      </w:r>
    </w:p>
    <w:p w14:paraId="2D99E8E4">
      <w:pPr>
        <w:adjustRightInd w:val="0"/>
        <w:snapToGrid w:val="0"/>
        <w:spacing w:line="560" w:lineRule="exact"/>
        <w:ind w:firstLine="640" w:firstLineChars="200"/>
        <w:rPr>
          <w:rFonts w:ascii="仿宋_GB2312" w:hAnsi="楷体_GB2312" w:eastAsia="仿宋_GB2312" w:cs="楷体_GB2312"/>
          <w:sz w:val="32"/>
          <w:szCs w:val="32"/>
        </w:rPr>
      </w:pPr>
      <w:r>
        <w:rPr>
          <w:rFonts w:hint="eastAsia" w:ascii="仿宋_GB2312" w:hAnsi="楷体_GB2312" w:eastAsia="仿宋_GB2312" w:cs="楷体_GB2312"/>
          <w:sz w:val="32"/>
          <w:szCs w:val="32"/>
        </w:rPr>
        <w:t>2021年度所有项目的申报、设立及调整均按我局相关管理制度规定</w:t>
      </w:r>
      <w:r>
        <w:rPr>
          <w:rFonts w:ascii="仿宋_GB2312" w:hAnsi="楷体_GB2312" w:eastAsia="仿宋_GB2312" w:cs="楷体_GB2312"/>
          <w:sz w:val="32"/>
          <w:szCs w:val="32"/>
        </w:rPr>
        <w:t>履行了应有</w:t>
      </w:r>
      <w:r>
        <w:rPr>
          <w:rFonts w:hint="eastAsia" w:ascii="仿宋_GB2312" w:hAnsi="楷体_GB2312" w:eastAsia="仿宋_GB2312" w:cs="楷体_GB2312"/>
          <w:sz w:val="32"/>
          <w:szCs w:val="32"/>
        </w:rPr>
        <w:t>程序。在日常管理中，我局对各项目的具体实施、资金使用都进行了有效监督，对所发现的问题予以督促整改，确保了财政资金使用</w:t>
      </w:r>
      <w:r>
        <w:rPr>
          <w:rFonts w:ascii="仿宋_GB2312" w:hAnsi="楷体_GB2312" w:eastAsia="仿宋_GB2312" w:cs="楷体_GB2312"/>
          <w:sz w:val="32"/>
          <w:szCs w:val="32"/>
        </w:rPr>
        <w:t>安全、</w:t>
      </w:r>
      <w:r>
        <w:rPr>
          <w:rFonts w:hint="eastAsia" w:ascii="仿宋_GB2312" w:hAnsi="楷体_GB2312" w:eastAsia="仿宋_GB2312" w:cs="楷体_GB2312"/>
          <w:sz w:val="32"/>
          <w:szCs w:val="32"/>
        </w:rPr>
        <w:t>合理、合规。</w:t>
      </w:r>
    </w:p>
    <w:p w14:paraId="04883658">
      <w:pPr>
        <w:adjustRightInd w:val="0"/>
        <w:snapToGrid w:val="0"/>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资产</w:t>
      </w:r>
      <w:r>
        <w:rPr>
          <w:rFonts w:ascii="仿宋_GB2312" w:hAnsi="仿宋_GB2312" w:eastAsia="仿宋_GB2312" w:cs="仿宋_GB2312"/>
          <w:sz w:val="32"/>
          <w:szCs w:val="32"/>
        </w:rPr>
        <w:t>管理</w:t>
      </w:r>
    </w:p>
    <w:p w14:paraId="78998B55">
      <w:pPr>
        <w:adjustRightInd w:val="0"/>
        <w:snapToGrid w:val="0"/>
        <w:spacing w:line="560" w:lineRule="exact"/>
        <w:ind w:firstLine="640" w:firstLineChars="200"/>
        <w:rPr>
          <w:rFonts w:ascii="仿宋_GB2312" w:hAnsi="楷体_GB2312" w:eastAsia="仿宋_GB2312" w:cs="楷体_GB2312"/>
          <w:bCs/>
          <w:sz w:val="32"/>
          <w:szCs w:val="32"/>
        </w:rPr>
      </w:pPr>
      <w:r>
        <w:rPr>
          <w:rFonts w:hint="eastAsia" w:ascii="仿宋_GB2312" w:hAnsi="楷体_GB2312" w:eastAsia="仿宋_GB2312" w:cs="楷体_GB2312"/>
          <w:bCs/>
          <w:sz w:val="32"/>
          <w:szCs w:val="32"/>
        </w:rPr>
        <w:t>我局制定了《财务</w:t>
      </w:r>
      <w:r>
        <w:rPr>
          <w:rFonts w:ascii="仿宋_GB2312" w:hAnsi="楷体_GB2312" w:eastAsia="仿宋_GB2312" w:cs="楷体_GB2312"/>
          <w:bCs/>
          <w:sz w:val="32"/>
          <w:szCs w:val="32"/>
        </w:rPr>
        <w:t>管理制度》</w:t>
      </w:r>
      <w:r>
        <w:rPr>
          <w:rFonts w:hint="eastAsia" w:ascii="仿宋_GB2312" w:hAnsi="楷体_GB2312" w:eastAsia="仿宋_GB2312" w:cs="楷体_GB2312"/>
          <w:bCs/>
          <w:sz w:val="32"/>
          <w:szCs w:val="32"/>
        </w:rPr>
        <w:t>、《固定资产管理制度》，落实了资产管理人员责任，规范了资产配置、验收、使用、报废、处置等各项程序。2021年度我局资产配置（如计算机、打印机、传真机等）均严格按照政府要求厉行节约、合理配置，且保管完整，账实相符。资产的申购、验收等一律按照我局财务管理制度的审批权限及流程执行。</w:t>
      </w:r>
    </w:p>
    <w:p w14:paraId="35833304">
      <w:pPr>
        <w:adjustRightInd w:val="0"/>
        <w:snapToGrid w:val="0"/>
        <w:spacing w:line="560" w:lineRule="exact"/>
        <w:ind w:firstLine="640" w:firstLineChars="200"/>
        <w:rPr>
          <w:rFonts w:ascii="仿宋_GB2312" w:hAnsi="楷体_GB2312" w:eastAsia="仿宋_GB2312" w:cs="楷体_GB2312"/>
          <w:bCs/>
          <w:sz w:val="32"/>
          <w:szCs w:val="32"/>
        </w:rPr>
      </w:pPr>
      <w:r>
        <w:rPr>
          <w:rFonts w:hint="eastAsia" w:ascii="仿宋_GB2312" w:hAnsi="楷体_GB2312" w:eastAsia="仿宋_GB2312" w:cs="楷体_GB2312"/>
          <w:bCs/>
          <w:sz w:val="32"/>
          <w:szCs w:val="32"/>
        </w:rPr>
        <w:t>2021年末</w:t>
      </w:r>
      <w:r>
        <w:rPr>
          <w:rFonts w:ascii="仿宋_GB2312" w:hAnsi="楷体_GB2312" w:eastAsia="仿宋_GB2312" w:cs="楷体_GB2312"/>
          <w:bCs/>
          <w:sz w:val="32"/>
          <w:szCs w:val="32"/>
        </w:rPr>
        <w:t>，</w:t>
      </w:r>
      <w:r>
        <w:rPr>
          <w:rFonts w:hint="eastAsia" w:ascii="仿宋_GB2312" w:hAnsi="楷体_GB2312" w:eastAsia="仿宋_GB2312" w:cs="楷体_GB2312"/>
          <w:bCs/>
          <w:sz w:val="32"/>
          <w:szCs w:val="32"/>
        </w:rPr>
        <w:t>我局</w:t>
      </w:r>
      <w:r>
        <w:rPr>
          <w:rFonts w:ascii="仿宋_GB2312" w:hAnsi="楷体_GB2312" w:eastAsia="仿宋_GB2312" w:cs="楷体_GB2312"/>
          <w:bCs/>
          <w:sz w:val="32"/>
          <w:szCs w:val="32"/>
        </w:rPr>
        <w:t>资产</w:t>
      </w:r>
      <w:r>
        <w:rPr>
          <w:rFonts w:hint="eastAsia" w:ascii="仿宋_GB2312" w:hAnsi="楷体_GB2312" w:eastAsia="仿宋_GB2312" w:cs="楷体_GB2312"/>
          <w:bCs/>
          <w:sz w:val="32"/>
          <w:szCs w:val="32"/>
        </w:rPr>
        <w:t>账面总额决算</w:t>
      </w:r>
      <w:r>
        <w:rPr>
          <w:rFonts w:ascii="仿宋_GB2312" w:hAnsi="楷体_GB2312" w:eastAsia="仿宋_GB2312" w:cs="楷体_GB2312"/>
          <w:bCs/>
          <w:sz w:val="32"/>
          <w:szCs w:val="32"/>
        </w:rPr>
        <w:t>数为</w:t>
      </w:r>
      <w:r>
        <w:rPr>
          <w:rFonts w:hint="eastAsia" w:ascii="仿宋_GB2312" w:hAnsi="楷体_GB2312" w:eastAsia="仿宋_GB2312" w:cs="楷体_GB2312"/>
          <w:bCs/>
          <w:sz w:val="32"/>
          <w:szCs w:val="32"/>
        </w:rPr>
        <w:t>4,013.55万元,其中</w:t>
      </w:r>
      <w:r>
        <w:rPr>
          <w:rFonts w:ascii="仿宋_GB2312" w:hAnsi="楷体_GB2312" w:eastAsia="仿宋_GB2312" w:cs="楷体_GB2312"/>
          <w:bCs/>
          <w:sz w:val="32"/>
          <w:szCs w:val="32"/>
        </w:rPr>
        <w:t>：</w:t>
      </w:r>
      <w:r>
        <w:rPr>
          <w:rFonts w:hint="eastAsia" w:ascii="仿宋_GB2312" w:hAnsi="楷体_GB2312" w:eastAsia="仿宋_GB2312" w:cs="楷体_GB2312"/>
          <w:bCs/>
          <w:sz w:val="32"/>
          <w:szCs w:val="32"/>
        </w:rPr>
        <w:t>固定资产265件，包括车辆</w:t>
      </w:r>
      <w:r>
        <w:rPr>
          <w:rFonts w:ascii="仿宋_GB2312" w:hAnsi="楷体_GB2312" w:eastAsia="仿宋_GB2312" w:cs="楷体_GB2312"/>
          <w:bCs/>
          <w:sz w:val="32"/>
          <w:szCs w:val="32"/>
        </w:rPr>
        <w:t>、计算机设备及软件、</w:t>
      </w:r>
      <w:r>
        <w:rPr>
          <w:rFonts w:hint="eastAsia" w:ascii="仿宋_GB2312" w:hAnsi="楷体_GB2312" w:eastAsia="仿宋_GB2312" w:cs="楷体_GB2312"/>
          <w:bCs/>
          <w:sz w:val="32"/>
          <w:szCs w:val="32"/>
        </w:rPr>
        <w:t>家具及用具类、通用</w:t>
      </w:r>
      <w:r>
        <w:rPr>
          <w:rFonts w:ascii="仿宋_GB2312" w:hAnsi="楷体_GB2312" w:eastAsia="仿宋_GB2312" w:cs="楷体_GB2312"/>
          <w:bCs/>
          <w:sz w:val="32"/>
          <w:szCs w:val="32"/>
        </w:rPr>
        <w:t>设备、</w:t>
      </w:r>
      <w:r>
        <w:rPr>
          <w:rFonts w:hint="eastAsia" w:ascii="仿宋_GB2312" w:hAnsi="楷体_GB2312" w:eastAsia="仿宋_GB2312" w:cs="楷体_GB2312"/>
          <w:bCs/>
          <w:sz w:val="32"/>
          <w:szCs w:val="32"/>
        </w:rPr>
        <w:t>专用设备等，账面原值合计186.13万元，账面净值</w:t>
      </w:r>
      <w:r>
        <w:rPr>
          <w:rFonts w:ascii="仿宋_GB2312" w:hAnsi="楷体_GB2312" w:eastAsia="仿宋_GB2312" w:cs="楷体_GB2312"/>
          <w:bCs/>
          <w:sz w:val="32"/>
          <w:szCs w:val="32"/>
        </w:rPr>
        <w:t>合计</w:t>
      </w:r>
      <w:r>
        <w:rPr>
          <w:rFonts w:hint="eastAsia" w:ascii="仿宋_GB2312" w:hAnsi="楷体_GB2312" w:eastAsia="仿宋_GB2312" w:cs="楷体_GB2312"/>
          <w:bCs/>
          <w:sz w:val="32"/>
          <w:szCs w:val="32"/>
        </w:rPr>
        <w:t>108.67万元；无形资产2套，账面原值合计172.00万元，账面金额172.00万元。2021年我局</w:t>
      </w:r>
      <w:r>
        <w:rPr>
          <w:rFonts w:ascii="仿宋_GB2312" w:hAnsi="楷体_GB2312" w:eastAsia="仿宋_GB2312" w:cs="楷体_GB2312"/>
          <w:bCs/>
          <w:sz w:val="32"/>
          <w:szCs w:val="32"/>
        </w:rPr>
        <w:t>无闲置资产</w:t>
      </w:r>
      <w:r>
        <w:rPr>
          <w:rFonts w:hint="eastAsia" w:ascii="仿宋_GB2312" w:hAnsi="楷体_GB2312" w:eastAsia="仿宋_GB2312" w:cs="楷体_GB2312"/>
          <w:bCs/>
          <w:sz w:val="32"/>
          <w:szCs w:val="32"/>
        </w:rPr>
        <w:t>，资产使用率达1</w:t>
      </w:r>
      <w:r>
        <w:rPr>
          <w:rFonts w:ascii="仿宋_GB2312" w:hAnsi="楷体_GB2312" w:eastAsia="仿宋_GB2312" w:cs="楷体_GB2312"/>
          <w:bCs/>
          <w:sz w:val="32"/>
          <w:szCs w:val="32"/>
        </w:rPr>
        <w:t>00</w:t>
      </w:r>
      <w:r>
        <w:rPr>
          <w:rFonts w:hint="eastAsia" w:ascii="仿宋_GB2312" w:hAnsi="楷体_GB2312" w:eastAsia="仿宋_GB2312" w:cs="楷体_GB2312"/>
          <w:bCs/>
          <w:sz w:val="32"/>
          <w:szCs w:val="32"/>
        </w:rPr>
        <w:t>%，有固定资产报废处置情况，被处置数量为8</w:t>
      </w:r>
      <w:r>
        <w:rPr>
          <w:rFonts w:ascii="仿宋_GB2312" w:hAnsi="楷体_GB2312" w:eastAsia="仿宋_GB2312" w:cs="楷体_GB2312"/>
          <w:bCs/>
          <w:sz w:val="32"/>
          <w:szCs w:val="32"/>
        </w:rPr>
        <w:t>8</w:t>
      </w:r>
      <w:r>
        <w:rPr>
          <w:rFonts w:hint="eastAsia" w:ascii="仿宋_GB2312" w:hAnsi="楷体_GB2312" w:eastAsia="仿宋_GB2312" w:cs="楷体_GB2312"/>
          <w:bCs/>
          <w:sz w:val="32"/>
          <w:szCs w:val="32"/>
        </w:rPr>
        <w:t>件，期中办公设备2</w:t>
      </w:r>
      <w:r>
        <w:rPr>
          <w:rFonts w:ascii="仿宋_GB2312" w:hAnsi="楷体_GB2312" w:eastAsia="仿宋_GB2312" w:cs="楷体_GB2312"/>
          <w:bCs/>
          <w:sz w:val="32"/>
          <w:szCs w:val="32"/>
        </w:rPr>
        <w:t>2</w:t>
      </w:r>
      <w:r>
        <w:rPr>
          <w:rFonts w:hint="eastAsia" w:ascii="仿宋_GB2312" w:hAnsi="楷体_GB2312" w:eastAsia="仿宋_GB2312" w:cs="楷体_GB2312"/>
          <w:bCs/>
          <w:sz w:val="32"/>
          <w:szCs w:val="32"/>
        </w:rPr>
        <w:t>件，办公家具6</w:t>
      </w:r>
      <w:r>
        <w:rPr>
          <w:rFonts w:ascii="仿宋_GB2312" w:hAnsi="楷体_GB2312" w:eastAsia="仿宋_GB2312" w:cs="楷体_GB2312"/>
          <w:bCs/>
          <w:sz w:val="32"/>
          <w:szCs w:val="32"/>
        </w:rPr>
        <w:t>6</w:t>
      </w:r>
      <w:r>
        <w:rPr>
          <w:rFonts w:hint="eastAsia" w:ascii="仿宋_GB2312" w:hAnsi="楷体_GB2312" w:eastAsia="仿宋_GB2312" w:cs="楷体_GB2312"/>
          <w:bCs/>
          <w:sz w:val="32"/>
          <w:szCs w:val="32"/>
        </w:rPr>
        <w:t>件，被处置固定资产账面原值为1</w:t>
      </w:r>
      <w:r>
        <w:rPr>
          <w:rFonts w:ascii="仿宋_GB2312" w:hAnsi="楷体_GB2312" w:eastAsia="仿宋_GB2312" w:cs="楷体_GB2312"/>
          <w:bCs/>
          <w:sz w:val="32"/>
          <w:szCs w:val="32"/>
        </w:rPr>
        <w:t>6.98</w:t>
      </w:r>
      <w:r>
        <w:rPr>
          <w:rFonts w:hint="eastAsia" w:ascii="仿宋_GB2312" w:hAnsi="楷体_GB2312" w:eastAsia="仿宋_GB2312" w:cs="楷体_GB2312"/>
          <w:bCs/>
          <w:sz w:val="32"/>
          <w:szCs w:val="32"/>
        </w:rPr>
        <w:t>万元，其中办公设备为7</w:t>
      </w:r>
      <w:r>
        <w:rPr>
          <w:rFonts w:ascii="仿宋_GB2312" w:hAnsi="楷体_GB2312" w:eastAsia="仿宋_GB2312" w:cs="楷体_GB2312"/>
          <w:bCs/>
          <w:sz w:val="32"/>
          <w:szCs w:val="32"/>
        </w:rPr>
        <w:t>.61</w:t>
      </w:r>
      <w:r>
        <w:rPr>
          <w:rFonts w:hint="eastAsia" w:ascii="仿宋_GB2312" w:hAnsi="楷体_GB2312" w:eastAsia="仿宋_GB2312" w:cs="楷体_GB2312"/>
          <w:bCs/>
          <w:sz w:val="32"/>
          <w:szCs w:val="32"/>
        </w:rPr>
        <w:t>万元，家具设备为9</w:t>
      </w:r>
      <w:r>
        <w:rPr>
          <w:rFonts w:ascii="仿宋_GB2312" w:hAnsi="楷体_GB2312" w:eastAsia="仿宋_GB2312" w:cs="楷体_GB2312"/>
          <w:bCs/>
          <w:sz w:val="32"/>
          <w:szCs w:val="32"/>
        </w:rPr>
        <w:t>.37</w:t>
      </w:r>
      <w:r>
        <w:rPr>
          <w:rFonts w:hint="eastAsia" w:ascii="仿宋_GB2312" w:hAnsi="楷体_GB2312" w:eastAsia="仿宋_GB2312" w:cs="楷体_GB2312"/>
          <w:bCs/>
          <w:sz w:val="32"/>
          <w:szCs w:val="32"/>
        </w:rPr>
        <w:t>万元，无对外投资、出租出借或处置国有资产取得收益情况。</w:t>
      </w:r>
    </w:p>
    <w:p w14:paraId="0548F31A">
      <w:pPr>
        <w:adjustRightInd w:val="0"/>
        <w:snapToGrid w:val="0"/>
        <w:spacing w:line="560" w:lineRule="exact"/>
        <w:ind w:firstLine="640" w:firstLineChars="200"/>
        <w:rPr>
          <w:rFonts w:ascii="仿宋_GB2312" w:hAnsi="仿宋_GB2312" w:eastAsia="仿宋_GB2312" w:cs="仿宋_GB2312"/>
          <w:bCs/>
          <w:sz w:val="32"/>
          <w:szCs w:val="32"/>
        </w:rPr>
      </w:pPr>
      <w:r>
        <w:rPr>
          <w:rFonts w:hint="eastAsia" w:ascii="仿宋_GB2312" w:hAnsi="仿宋_GB2312" w:eastAsia="仿宋_GB2312" w:cs="仿宋_GB2312"/>
          <w:bCs/>
          <w:sz w:val="32"/>
          <w:szCs w:val="32"/>
        </w:rPr>
        <w:t>4.人员管理</w:t>
      </w:r>
    </w:p>
    <w:p w14:paraId="5AA2ED55">
      <w:pPr>
        <w:adjustRightInd w:val="0"/>
        <w:snapToGrid w:val="0"/>
        <w:spacing w:line="560" w:lineRule="exact"/>
        <w:ind w:firstLine="640" w:firstLineChars="200"/>
        <w:rPr>
          <w:rFonts w:ascii="仿宋_GB2312" w:hAnsi="楷体_GB2312" w:eastAsia="仿宋_GB2312" w:cs="楷体_GB2312"/>
          <w:bCs/>
          <w:sz w:val="32"/>
          <w:szCs w:val="32"/>
        </w:rPr>
      </w:pPr>
      <w:r>
        <w:rPr>
          <w:rFonts w:hint="eastAsia" w:ascii="仿宋_GB2312" w:hAnsi="楷体_GB2312" w:eastAsia="仿宋_GB2312" w:cs="楷体_GB2312"/>
          <w:bCs/>
          <w:sz w:val="32"/>
          <w:szCs w:val="32"/>
        </w:rPr>
        <w:t>截至2021年年末，我局核定编制数21人，实有在职人员17人，离退休人员7人，工勤人员1个,雇员1个，劳务派遣聘用人员14人。</w:t>
      </w:r>
    </w:p>
    <w:p w14:paraId="3777BB42">
      <w:pPr>
        <w:adjustRightInd w:val="0"/>
        <w:snapToGrid w:val="0"/>
        <w:spacing w:line="560" w:lineRule="exact"/>
        <w:ind w:firstLine="640" w:firstLineChars="200"/>
        <w:rPr>
          <w:rFonts w:ascii="仿宋_GB2312" w:hAnsi="楷体_GB2312" w:eastAsia="仿宋_GB2312" w:cs="楷体_GB2312"/>
          <w:bCs/>
          <w:sz w:val="32"/>
          <w:szCs w:val="32"/>
        </w:rPr>
      </w:pPr>
      <w:r>
        <w:rPr>
          <w:rFonts w:hint="eastAsia" w:ascii="仿宋_GB2312" w:hAnsi="楷体_GB2312" w:eastAsia="仿宋_GB2312" w:cs="楷体_GB2312"/>
          <w:bCs/>
          <w:sz w:val="32"/>
          <w:szCs w:val="32"/>
        </w:rPr>
        <w:t>2021年我局人员经费支出606.07万元，其中工资福利支出489.49万元、对个人和家庭的补助15</w:t>
      </w:r>
      <w:r>
        <w:rPr>
          <w:rFonts w:ascii="仿宋_GB2312" w:hAnsi="楷体_GB2312" w:eastAsia="仿宋_GB2312" w:cs="楷体_GB2312"/>
          <w:bCs/>
          <w:sz w:val="32"/>
          <w:szCs w:val="32"/>
        </w:rPr>
        <w:t>.</w:t>
      </w:r>
      <w:r>
        <w:rPr>
          <w:rFonts w:hint="eastAsia" w:ascii="仿宋_GB2312" w:hAnsi="楷体_GB2312" w:eastAsia="仿宋_GB2312" w:cs="楷体_GB2312"/>
          <w:bCs/>
          <w:sz w:val="32"/>
          <w:szCs w:val="32"/>
        </w:rPr>
        <w:t>48万元。</w:t>
      </w:r>
    </w:p>
    <w:p w14:paraId="0757A39A">
      <w:pPr>
        <w:adjustRightInd w:val="0"/>
        <w:snapToGrid w:val="0"/>
        <w:spacing w:line="560" w:lineRule="exact"/>
        <w:ind w:firstLine="640" w:firstLineChars="200"/>
        <w:rPr>
          <w:rFonts w:ascii="仿宋_GB2312" w:hAnsi="仿宋_GB2312" w:eastAsia="仿宋_GB2312" w:cs="仿宋_GB2312"/>
          <w:bCs/>
          <w:sz w:val="32"/>
          <w:szCs w:val="32"/>
        </w:rPr>
      </w:pPr>
      <w:r>
        <w:rPr>
          <w:rFonts w:ascii="仿宋_GB2312" w:hAnsi="仿宋_GB2312" w:eastAsia="仿宋_GB2312" w:cs="仿宋_GB2312"/>
          <w:bCs/>
          <w:sz w:val="32"/>
          <w:szCs w:val="32"/>
        </w:rPr>
        <w:t>5.</w:t>
      </w:r>
      <w:r>
        <w:rPr>
          <w:rFonts w:hint="eastAsia" w:ascii="仿宋_GB2312" w:hAnsi="仿宋_GB2312" w:eastAsia="仿宋_GB2312" w:cs="仿宋_GB2312"/>
          <w:bCs/>
          <w:sz w:val="32"/>
          <w:szCs w:val="32"/>
        </w:rPr>
        <w:t>制度</w:t>
      </w:r>
      <w:r>
        <w:rPr>
          <w:rFonts w:ascii="仿宋_GB2312" w:hAnsi="仿宋_GB2312" w:eastAsia="仿宋_GB2312" w:cs="仿宋_GB2312"/>
          <w:bCs/>
          <w:sz w:val="32"/>
          <w:szCs w:val="32"/>
        </w:rPr>
        <w:t>管理</w:t>
      </w:r>
    </w:p>
    <w:p w14:paraId="482C0F81">
      <w:pPr>
        <w:adjustRightInd w:val="0"/>
        <w:snapToGrid w:val="0"/>
        <w:spacing w:line="560" w:lineRule="exact"/>
        <w:ind w:firstLine="640" w:firstLineChars="200"/>
        <w:rPr>
          <w:rFonts w:ascii="仿宋_GB2312" w:hAnsi="楷体_GB2312" w:eastAsia="仿宋_GB2312" w:cs="楷体_GB2312"/>
          <w:bCs/>
          <w:sz w:val="32"/>
          <w:szCs w:val="32"/>
        </w:rPr>
      </w:pPr>
      <w:r>
        <w:rPr>
          <w:rFonts w:hint="eastAsia" w:ascii="仿宋_GB2312" w:hAnsi="楷体_GB2312" w:eastAsia="仿宋_GB2312" w:cs="楷体_GB2312"/>
          <w:bCs/>
          <w:sz w:val="32"/>
          <w:szCs w:val="32"/>
        </w:rPr>
        <w:t>我局制定了《财务管理制度》、《合同管理制度》、《固定资产管理制度》、《采购管理制度》、《预算绩效管理制度》、《办公用品管理制度》等一系列规章制度，明确了内部财务、资产、采购、合同、人员等业务事项管理要求</w:t>
      </w:r>
      <w:r>
        <w:rPr>
          <w:rFonts w:ascii="仿宋_GB2312" w:hAnsi="楷体_GB2312" w:eastAsia="仿宋_GB2312" w:cs="楷体_GB2312"/>
          <w:bCs/>
          <w:sz w:val="32"/>
          <w:szCs w:val="32"/>
        </w:rPr>
        <w:t>及工作程序</w:t>
      </w:r>
      <w:r>
        <w:rPr>
          <w:rFonts w:hint="eastAsia" w:ascii="仿宋_GB2312" w:hAnsi="楷体_GB2312" w:eastAsia="仿宋_GB2312" w:cs="楷体_GB2312"/>
          <w:bCs/>
          <w:sz w:val="32"/>
          <w:szCs w:val="32"/>
        </w:rPr>
        <w:t>，为日常</w:t>
      </w:r>
      <w:r>
        <w:rPr>
          <w:rFonts w:ascii="仿宋_GB2312" w:hAnsi="楷体_GB2312" w:eastAsia="仿宋_GB2312" w:cs="楷体_GB2312"/>
          <w:bCs/>
          <w:sz w:val="32"/>
          <w:szCs w:val="32"/>
        </w:rPr>
        <w:t>工作开展提供了</w:t>
      </w:r>
      <w:r>
        <w:rPr>
          <w:rFonts w:hint="eastAsia" w:ascii="仿宋_GB2312" w:hAnsi="楷体_GB2312" w:eastAsia="仿宋_GB2312" w:cs="楷体_GB2312"/>
          <w:bCs/>
          <w:sz w:val="32"/>
          <w:szCs w:val="32"/>
        </w:rPr>
        <w:t>制度</w:t>
      </w:r>
      <w:r>
        <w:rPr>
          <w:rFonts w:ascii="仿宋_GB2312" w:hAnsi="楷体_GB2312" w:eastAsia="仿宋_GB2312" w:cs="楷体_GB2312"/>
          <w:bCs/>
          <w:sz w:val="32"/>
          <w:szCs w:val="32"/>
        </w:rPr>
        <w:t>依据</w:t>
      </w:r>
      <w:r>
        <w:rPr>
          <w:rFonts w:hint="eastAsia" w:ascii="仿宋_GB2312" w:hAnsi="楷体_GB2312" w:eastAsia="仿宋_GB2312" w:cs="楷体_GB2312"/>
          <w:bCs/>
          <w:sz w:val="32"/>
          <w:szCs w:val="32"/>
        </w:rPr>
        <w:t>。</w:t>
      </w:r>
    </w:p>
    <w:p w14:paraId="5D5BA96B">
      <w:pPr>
        <w:adjustRightInd w:val="0"/>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二、部门（单位）主要履职绩效分析</w:t>
      </w:r>
    </w:p>
    <w:p w14:paraId="207F5ABF">
      <w:pPr>
        <w:adjustRightInd w:val="0"/>
        <w:snapToGrid w:val="0"/>
        <w:spacing w:line="560" w:lineRule="exact"/>
        <w:ind w:firstLine="643" w:firstLineChars="200"/>
        <w:rPr>
          <w:rFonts w:ascii="楷体" w:hAnsi="楷体" w:eastAsia="楷体"/>
          <w:b/>
          <w:color w:val="000000"/>
          <w:sz w:val="32"/>
          <w:szCs w:val="32"/>
        </w:rPr>
      </w:pPr>
      <w:r>
        <w:rPr>
          <w:rFonts w:hint="eastAsia" w:ascii="楷体" w:hAnsi="楷体" w:eastAsia="楷体"/>
          <w:b/>
          <w:color w:val="000000"/>
          <w:sz w:val="32"/>
          <w:szCs w:val="32"/>
        </w:rPr>
        <w:t>（一）主要履职目标</w:t>
      </w:r>
    </w:p>
    <w:p w14:paraId="50C901F1">
      <w:pPr>
        <w:adjustRightInd w:val="0"/>
        <w:snapToGrid w:val="0"/>
        <w:spacing w:line="560" w:lineRule="exact"/>
        <w:ind w:firstLine="640" w:firstLineChars="200"/>
        <w:rPr>
          <w:rFonts w:ascii="仿宋_GB2312" w:eastAsia="仿宋_GB2312"/>
          <w:sz w:val="32"/>
          <w:szCs w:val="32"/>
        </w:rPr>
      </w:pPr>
      <w:r>
        <w:rPr>
          <w:rFonts w:hint="eastAsia" w:ascii="仿宋_GB2312" w:eastAsia="仿宋_GB2312"/>
          <w:sz w:val="32"/>
          <w:szCs w:val="32"/>
        </w:rPr>
        <w:t>深圳市福田区科技创新局2021年主要工作目标包括：全力支持配合建设河套深港科技创新合作区这个政治任务，推进综合性国家科学中心建设，加速集聚高端科创资源，积极准备第二十三届高交会相关工作，努力挖掘产业空间资源，积极推进招商引资工作，扩大招商引资宣传，受理“福田英才”计划的工作，努力做好辖区R&amp;D指数纳统及国高企业申报工作，建设“都市型分布式智能化科创区”，举办相关科普活动，提升“创新福田”影响力，全方位开展科学普及，打造福田科普品牌。</w:t>
      </w:r>
    </w:p>
    <w:p w14:paraId="4A5C4900">
      <w:pPr>
        <w:adjustRightInd w:val="0"/>
        <w:snapToGrid w:val="0"/>
        <w:spacing w:line="560" w:lineRule="exact"/>
        <w:ind w:firstLine="643" w:firstLineChars="200"/>
        <w:rPr>
          <w:rFonts w:ascii="楷体" w:hAnsi="楷体" w:eastAsia="楷体"/>
          <w:b/>
          <w:color w:val="000000"/>
          <w:sz w:val="32"/>
          <w:szCs w:val="32"/>
        </w:rPr>
      </w:pPr>
      <w:r>
        <w:rPr>
          <w:rFonts w:hint="eastAsia" w:ascii="楷体" w:hAnsi="楷体" w:eastAsia="楷体"/>
          <w:b/>
          <w:color w:val="000000"/>
          <w:sz w:val="32"/>
          <w:szCs w:val="32"/>
        </w:rPr>
        <w:t>（二）主要履职情况</w:t>
      </w:r>
    </w:p>
    <w:p w14:paraId="516965A8">
      <w:pPr>
        <w:adjustRightInd w:val="0"/>
        <w:snapToGrid w:val="0"/>
        <w:spacing w:line="560" w:lineRule="exact"/>
        <w:ind w:firstLine="640" w:firstLineChars="200"/>
        <w:rPr>
          <w:rFonts w:ascii="仿宋_GB2312" w:eastAsia="仿宋_GB2312"/>
          <w:color w:val="000000"/>
          <w:kern w:val="0"/>
          <w:sz w:val="32"/>
          <w:szCs w:val="32"/>
        </w:rPr>
      </w:pPr>
      <w:r>
        <w:rPr>
          <w:rFonts w:hint="eastAsia" w:ascii="仿宋_GB2312" w:eastAsia="仿宋_GB2312"/>
          <w:color w:val="000000"/>
          <w:kern w:val="0"/>
          <w:sz w:val="32"/>
          <w:szCs w:val="32"/>
        </w:rPr>
        <w:t>我局坚持把贯彻落实党的十九大精神作为全区科技创新工作的主基调主旋律主任务，坚决打赢疫情防控阻击战，抢抓粤港澳大湾区和中国特色社会主义先行示范区“双区驱动”重大历史机遇，积极构建都市型分布式智能化科创区，加快打造科技创新中心，努力提升科技创新对福田经济社会发展的支撑引领作用。</w:t>
      </w:r>
    </w:p>
    <w:p w14:paraId="536DC402">
      <w:pPr>
        <w:adjustRightInd w:val="0"/>
        <w:snapToGrid w:val="0"/>
        <w:spacing w:line="560" w:lineRule="exact"/>
        <w:ind w:firstLine="640" w:firstLineChars="200"/>
        <w:rPr>
          <w:rFonts w:ascii="仿宋_GB2312" w:eastAsia="仿宋_GB2312"/>
          <w:color w:val="000000"/>
          <w:kern w:val="0"/>
          <w:sz w:val="32"/>
          <w:szCs w:val="32"/>
        </w:rPr>
      </w:pPr>
      <w:r>
        <w:rPr>
          <w:rFonts w:hint="eastAsia" w:ascii="仿宋_GB2312" w:eastAsia="仿宋_GB2312"/>
          <w:color w:val="000000"/>
          <w:kern w:val="0"/>
          <w:sz w:val="32"/>
          <w:szCs w:val="32"/>
        </w:rPr>
        <w:t>在区委区政府的正确领导下，我局始终坚持履行党的新闻舆论工作职责使命，全面加强基层宣传思想文化建设。同时为保证主要工作项目的实施，我局在人、财、物等方面采取了多种措施以保障项目的顺利实施，充分利用各种资源以落实项目。</w:t>
      </w:r>
    </w:p>
    <w:p w14:paraId="350562BC">
      <w:pPr>
        <w:adjustRightInd w:val="0"/>
        <w:snapToGrid w:val="0"/>
        <w:spacing w:line="56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（三）部门履职绩效情况</w:t>
      </w:r>
    </w:p>
    <w:p w14:paraId="2AA99041">
      <w:pPr>
        <w:pStyle w:val="2"/>
        <w:adjustRightInd w:val="0"/>
        <w:snapToGrid w:val="0"/>
        <w:spacing w:line="560" w:lineRule="exact"/>
        <w:ind w:firstLine="640"/>
        <w:rPr>
          <w:rFonts w:eastAsia="仿宋_GB2312"/>
        </w:rPr>
      </w:pPr>
      <w:r>
        <w:rPr>
          <w:rFonts w:hint="eastAsia" w:ascii="仿宋_GB2312" w:hAnsi="仿宋_GB2312" w:eastAsia="仿宋_GB2312" w:cs="仿宋_GB2312"/>
        </w:rPr>
        <w:t>1、经济</w:t>
      </w:r>
      <w:r>
        <w:rPr>
          <w:rFonts w:hint="eastAsia" w:eastAsia="仿宋_GB2312"/>
        </w:rPr>
        <w:t>性。</w:t>
      </w:r>
    </w:p>
    <w:p w14:paraId="460FCBCE">
      <w:pPr>
        <w:pStyle w:val="2"/>
        <w:adjustRightInd w:val="0"/>
        <w:snapToGrid w:val="0"/>
        <w:spacing w:line="560" w:lineRule="exact"/>
        <w:ind w:firstLine="640"/>
        <w:rPr>
          <w:rFonts w:ascii="仿宋_GB2312" w:hAnsi="仿宋_GB2312" w:eastAsia="仿宋_GB2312" w:cs="仿宋_GB2312"/>
        </w:rPr>
      </w:pPr>
      <w:r>
        <w:rPr>
          <w:rFonts w:hint="eastAsia" w:ascii="仿宋_GB2312" w:hAnsi="仿宋_GB2312" w:eastAsia="仿宋_GB2312" w:cs="仿宋_GB2312"/>
        </w:rPr>
        <w:t>我局2021年“三公”经费财政拨款预算总额8.67万元，为公务用车购置及运行维护费以及公务接待费。截至2021年末，“三公”经费实际支出4.79万元，“三公”经费控制率为55.23%。</w:t>
      </w:r>
    </w:p>
    <w:p w14:paraId="670A6E88">
      <w:pPr>
        <w:adjustRightInd w:val="0"/>
        <w:snapToGrid w:val="0"/>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2、</w:t>
      </w:r>
      <w:r>
        <w:rPr>
          <w:rFonts w:hint="eastAsia" w:ascii="仿宋_GB2312" w:hAnsi="仿宋_GB2312" w:eastAsia="仿宋_GB2312" w:cs="仿宋_GB2312"/>
          <w:kern w:val="0"/>
          <w:sz w:val="32"/>
          <w:szCs w:val="32"/>
        </w:rPr>
        <w:t xml:space="preserve">（1）预算执行率   </w:t>
      </w:r>
    </w:p>
    <w:p w14:paraId="163F494D">
      <w:pPr>
        <w:adjustRightInd w:val="0"/>
        <w:snapToGrid w:val="0"/>
        <w:spacing w:line="560" w:lineRule="exact"/>
        <w:ind w:firstLine="640" w:firstLineChars="200"/>
        <w:rPr>
          <w:rFonts w:ascii="仿宋_GB2312" w:eastAsia="仿宋_GB2312"/>
          <w:color w:val="000000"/>
          <w:kern w:val="0"/>
          <w:sz w:val="32"/>
          <w:szCs w:val="32"/>
        </w:rPr>
      </w:pPr>
      <w:r>
        <w:rPr>
          <w:rFonts w:hint="eastAsia" w:ascii="仿宋_GB2312" w:hAnsi="仿宋_GB2312" w:eastAsia="仿宋_GB2312" w:cs="仿宋_GB2312"/>
          <w:kern w:val="0"/>
          <w:sz w:val="32"/>
          <w:szCs w:val="32"/>
        </w:rPr>
        <w:t>2021年各季度执行率分别为62.56%、82.02%、86.94%、97.65%，全年平均执行率为82.29%,</w:t>
      </w:r>
      <w:r>
        <w:rPr>
          <w:rFonts w:hint="eastAsia" w:ascii="仿宋_GB2312" w:eastAsia="仿宋_GB2312"/>
          <w:color w:val="000000"/>
          <w:kern w:val="0"/>
          <w:sz w:val="32"/>
          <w:szCs w:val="32"/>
        </w:rPr>
        <w:t>2021年我局预算调整后年度总指标为81,164.95万元，截至2021年年末，我局实际支出79,260.57万元，2021年部门整体预算执行率达97.65%，预算执行情况较好。详细情况见下表：</w:t>
      </w:r>
    </w:p>
    <w:p w14:paraId="14EBC60C">
      <w:pPr>
        <w:adjustRightInd w:val="0"/>
        <w:snapToGrid w:val="0"/>
        <w:spacing w:line="590" w:lineRule="exact"/>
        <w:jc w:val="center"/>
        <w:rPr>
          <w:rFonts w:ascii="仿宋_GB2312" w:hAnsi="仿宋_GB2312" w:eastAsia="仿宋_GB2312" w:cs="仿宋_GB2312"/>
          <w:b/>
          <w:sz w:val="32"/>
          <w:szCs w:val="32"/>
        </w:rPr>
      </w:pPr>
      <w:r>
        <w:rPr>
          <w:rFonts w:hint="eastAsia" w:ascii="仿宋_GB2312" w:hAnsi="黑体" w:eastAsia="仿宋_GB2312" w:cs="黑体"/>
          <w:kern w:val="0"/>
          <w:sz w:val="32"/>
          <w:szCs w:val="32"/>
        </w:rPr>
        <w:t xml:space="preserve">  2021年部门整体各季度预算执行率</w:t>
      </w:r>
    </w:p>
    <w:tbl>
      <w:tblPr>
        <w:tblStyle w:val="9"/>
        <w:tblpPr w:leftFromText="180" w:rightFromText="180" w:vertAnchor="text" w:horzAnchor="page" w:tblpX="1784" w:tblpY="17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2"/>
        <w:gridCol w:w="1662"/>
        <w:gridCol w:w="1812"/>
        <w:gridCol w:w="1813"/>
        <w:gridCol w:w="1813"/>
      </w:tblGrid>
      <w:tr w14:paraId="02797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962" w:type="dxa"/>
            <w:vAlign w:val="center"/>
          </w:tcPr>
          <w:p w14:paraId="3419813E">
            <w:pPr>
              <w:snapToGrid w:val="0"/>
              <w:ind w:firstLine="480" w:firstLineChars="200"/>
              <w:jc w:val="center"/>
              <w:outlineLvl w:val="1"/>
              <w:rPr>
                <w:rFonts w:ascii="仿宋_GB2312" w:hAnsi="仿宋_GB2312" w:eastAsia="仿宋_GB2312" w:cs="仿宋_GB2312"/>
                <w:sz w:val="24"/>
              </w:rPr>
            </w:pPr>
            <w:r>
              <w:rPr>
                <w:rFonts w:hint="eastAsia" w:ascii="仿宋_GB2312" w:hAnsi="仿宋_GB2312" w:eastAsia="仿宋_GB2312" w:cs="仿宋_GB2312"/>
                <w:sz w:val="24"/>
              </w:rPr>
              <w:t>季度</w:t>
            </w:r>
          </w:p>
        </w:tc>
        <w:tc>
          <w:tcPr>
            <w:tcW w:w="1662" w:type="dxa"/>
            <w:vAlign w:val="center"/>
          </w:tcPr>
          <w:p w14:paraId="517FFAEB">
            <w:pPr>
              <w:snapToGrid w:val="0"/>
              <w:ind w:firstLine="480" w:firstLineChars="200"/>
              <w:jc w:val="center"/>
              <w:outlineLvl w:val="1"/>
              <w:rPr>
                <w:rFonts w:ascii="仿宋_GB2312" w:hAnsi="仿宋_GB2312" w:eastAsia="仿宋_GB2312" w:cs="仿宋_GB2312"/>
                <w:sz w:val="24"/>
              </w:rPr>
            </w:pPr>
            <w:r>
              <w:rPr>
                <w:rFonts w:hint="eastAsia" w:ascii="仿宋_GB2312" w:hAnsi="仿宋_GB2312" w:eastAsia="仿宋_GB2312" w:cs="仿宋_GB2312"/>
                <w:sz w:val="24"/>
              </w:rPr>
              <w:t>一季度</w:t>
            </w:r>
          </w:p>
        </w:tc>
        <w:tc>
          <w:tcPr>
            <w:tcW w:w="1812" w:type="dxa"/>
            <w:vAlign w:val="center"/>
          </w:tcPr>
          <w:p w14:paraId="35C9E994">
            <w:pPr>
              <w:snapToGrid w:val="0"/>
              <w:ind w:firstLine="480" w:firstLineChars="200"/>
              <w:jc w:val="center"/>
              <w:outlineLvl w:val="1"/>
              <w:rPr>
                <w:rFonts w:ascii="仿宋_GB2312" w:hAnsi="仿宋_GB2312" w:eastAsia="仿宋_GB2312" w:cs="仿宋_GB2312"/>
                <w:sz w:val="24"/>
              </w:rPr>
            </w:pPr>
            <w:r>
              <w:rPr>
                <w:rFonts w:hint="eastAsia" w:ascii="仿宋_GB2312" w:hAnsi="仿宋_GB2312" w:eastAsia="仿宋_GB2312" w:cs="仿宋_GB2312"/>
                <w:sz w:val="24"/>
              </w:rPr>
              <w:t>二季度</w:t>
            </w:r>
          </w:p>
        </w:tc>
        <w:tc>
          <w:tcPr>
            <w:tcW w:w="1813" w:type="dxa"/>
            <w:vAlign w:val="center"/>
          </w:tcPr>
          <w:p w14:paraId="1E12B54C">
            <w:pPr>
              <w:snapToGrid w:val="0"/>
              <w:ind w:firstLine="480" w:firstLineChars="200"/>
              <w:jc w:val="center"/>
              <w:outlineLvl w:val="1"/>
              <w:rPr>
                <w:rFonts w:ascii="仿宋_GB2312" w:hAnsi="仿宋_GB2312" w:eastAsia="仿宋_GB2312" w:cs="仿宋_GB2312"/>
                <w:sz w:val="24"/>
              </w:rPr>
            </w:pPr>
            <w:r>
              <w:rPr>
                <w:rFonts w:hint="eastAsia" w:ascii="仿宋_GB2312" w:hAnsi="仿宋_GB2312" w:eastAsia="仿宋_GB2312" w:cs="仿宋_GB2312"/>
                <w:sz w:val="24"/>
              </w:rPr>
              <w:t>三季度</w:t>
            </w:r>
          </w:p>
        </w:tc>
        <w:tc>
          <w:tcPr>
            <w:tcW w:w="1813" w:type="dxa"/>
            <w:vAlign w:val="center"/>
          </w:tcPr>
          <w:p w14:paraId="4EC1F8FA">
            <w:pPr>
              <w:snapToGrid w:val="0"/>
              <w:ind w:firstLine="480" w:firstLineChars="200"/>
              <w:jc w:val="center"/>
              <w:outlineLvl w:val="1"/>
              <w:rPr>
                <w:rFonts w:ascii="仿宋_GB2312" w:hAnsi="仿宋_GB2312" w:eastAsia="仿宋_GB2312" w:cs="仿宋_GB2312"/>
                <w:sz w:val="24"/>
              </w:rPr>
            </w:pPr>
            <w:r>
              <w:rPr>
                <w:rFonts w:hint="eastAsia" w:ascii="仿宋_GB2312" w:hAnsi="仿宋_GB2312" w:eastAsia="仿宋_GB2312" w:cs="仿宋_GB2312"/>
                <w:sz w:val="24"/>
              </w:rPr>
              <w:t>四季度</w:t>
            </w:r>
          </w:p>
        </w:tc>
      </w:tr>
      <w:tr w14:paraId="1C4C1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962" w:type="dxa"/>
            <w:vAlign w:val="center"/>
          </w:tcPr>
          <w:p w14:paraId="09B90A27">
            <w:pPr>
              <w:snapToGrid w:val="0"/>
              <w:ind w:firstLine="240" w:firstLineChars="100"/>
              <w:jc w:val="center"/>
              <w:outlineLvl w:val="1"/>
              <w:rPr>
                <w:rFonts w:ascii="仿宋_GB2312" w:hAnsi="仿宋_GB2312" w:eastAsia="仿宋_GB2312" w:cs="仿宋_GB2312"/>
                <w:sz w:val="24"/>
              </w:rPr>
            </w:pPr>
            <w:r>
              <w:rPr>
                <w:rFonts w:hint="eastAsia" w:ascii="仿宋_GB2312" w:hAnsi="仿宋_GB2312" w:eastAsia="仿宋_GB2312" w:cs="仿宋_GB2312"/>
                <w:sz w:val="24"/>
              </w:rPr>
              <w:t>指标金额</w:t>
            </w:r>
          </w:p>
        </w:tc>
        <w:tc>
          <w:tcPr>
            <w:tcW w:w="1662" w:type="dxa"/>
            <w:vAlign w:val="center"/>
          </w:tcPr>
          <w:p w14:paraId="1AC72D0D">
            <w:pPr>
              <w:snapToGrid w:val="0"/>
              <w:jc w:val="center"/>
              <w:outlineLvl w:val="1"/>
              <w:rPr>
                <w:rFonts w:ascii="仿宋_GB2312" w:hAnsi="仿宋_GB2312" w:eastAsia="仿宋_GB2312" w:cs="仿宋_GB2312"/>
                <w:sz w:val="24"/>
              </w:rPr>
            </w:pPr>
            <w:r>
              <w:rPr>
                <w:rFonts w:hint="eastAsia" w:ascii="仿宋_GB2312" w:hAnsi="仿宋_GB2312" w:eastAsia="仿宋_GB2312" w:cs="仿宋_GB2312"/>
                <w:sz w:val="24"/>
              </w:rPr>
              <w:t>81,164.95</w:t>
            </w:r>
          </w:p>
        </w:tc>
        <w:tc>
          <w:tcPr>
            <w:tcW w:w="1812" w:type="dxa"/>
            <w:vAlign w:val="center"/>
          </w:tcPr>
          <w:p w14:paraId="6617FCA4">
            <w:pPr>
              <w:snapToGrid w:val="0"/>
              <w:ind w:firstLine="240" w:firstLineChars="100"/>
              <w:outlineLvl w:val="1"/>
              <w:rPr>
                <w:rFonts w:ascii="仿宋_GB2312" w:hAnsi="仿宋_GB2312" w:eastAsia="仿宋_GB2312" w:cs="仿宋_GB2312"/>
                <w:sz w:val="24"/>
              </w:rPr>
            </w:pPr>
            <w:r>
              <w:rPr>
                <w:rFonts w:hint="eastAsia" w:ascii="仿宋_GB2312" w:hAnsi="仿宋_GB2312" w:eastAsia="仿宋_GB2312" w:cs="仿宋_GB2312"/>
                <w:sz w:val="24"/>
              </w:rPr>
              <w:t>81,164.95</w:t>
            </w:r>
          </w:p>
        </w:tc>
        <w:tc>
          <w:tcPr>
            <w:tcW w:w="1813" w:type="dxa"/>
            <w:vAlign w:val="center"/>
          </w:tcPr>
          <w:p w14:paraId="4144019F">
            <w:pPr>
              <w:snapToGrid w:val="0"/>
              <w:ind w:firstLine="240" w:firstLineChars="100"/>
              <w:outlineLvl w:val="1"/>
              <w:rPr>
                <w:rFonts w:ascii="仿宋_GB2312" w:hAnsi="仿宋_GB2312" w:eastAsia="仿宋_GB2312" w:cs="仿宋_GB2312"/>
                <w:sz w:val="24"/>
              </w:rPr>
            </w:pPr>
            <w:r>
              <w:rPr>
                <w:rFonts w:hint="eastAsia" w:ascii="仿宋_GB2312" w:hAnsi="仿宋_GB2312" w:eastAsia="仿宋_GB2312" w:cs="仿宋_GB2312"/>
                <w:sz w:val="24"/>
              </w:rPr>
              <w:t>81,164.95</w:t>
            </w:r>
          </w:p>
        </w:tc>
        <w:tc>
          <w:tcPr>
            <w:tcW w:w="1813" w:type="dxa"/>
            <w:vAlign w:val="center"/>
          </w:tcPr>
          <w:p w14:paraId="68FF116B">
            <w:pPr>
              <w:snapToGrid w:val="0"/>
              <w:ind w:firstLine="240" w:firstLineChars="100"/>
              <w:outlineLvl w:val="1"/>
              <w:rPr>
                <w:rFonts w:ascii="仿宋_GB2312" w:hAnsi="仿宋_GB2312" w:eastAsia="仿宋_GB2312" w:cs="仿宋_GB2312"/>
                <w:sz w:val="24"/>
              </w:rPr>
            </w:pPr>
            <w:r>
              <w:rPr>
                <w:rFonts w:hint="eastAsia" w:ascii="仿宋_GB2312" w:hAnsi="仿宋_GB2312" w:eastAsia="仿宋_GB2312" w:cs="仿宋_GB2312"/>
                <w:sz w:val="24"/>
              </w:rPr>
              <w:t>81,164.95</w:t>
            </w:r>
          </w:p>
        </w:tc>
      </w:tr>
      <w:tr w14:paraId="50B40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962" w:type="dxa"/>
            <w:vAlign w:val="center"/>
          </w:tcPr>
          <w:p w14:paraId="2ED535D7">
            <w:pPr>
              <w:snapToGrid w:val="0"/>
              <w:jc w:val="center"/>
              <w:outlineLvl w:val="1"/>
              <w:rPr>
                <w:rFonts w:ascii="仿宋_GB2312" w:hAnsi="仿宋_GB2312" w:eastAsia="仿宋_GB2312" w:cs="仿宋_GB2312"/>
                <w:sz w:val="24"/>
              </w:rPr>
            </w:pPr>
            <w:r>
              <w:rPr>
                <w:rFonts w:hint="eastAsia" w:ascii="仿宋_GB2312" w:hAnsi="仿宋_GB2312" w:eastAsia="仿宋_GB2312" w:cs="仿宋_GB2312"/>
                <w:sz w:val="24"/>
              </w:rPr>
              <w:t>已支付金额</w:t>
            </w:r>
          </w:p>
        </w:tc>
        <w:tc>
          <w:tcPr>
            <w:tcW w:w="1662" w:type="dxa"/>
            <w:vAlign w:val="center"/>
          </w:tcPr>
          <w:p w14:paraId="447F430F">
            <w:pPr>
              <w:snapToGrid w:val="0"/>
              <w:jc w:val="center"/>
              <w:outlineLvl w:val="1"/>
              <w:rPr>
                <w:rFonts w:ascii="仿宋_GB2312" w:hAnsi="仿宋_GB2312" w:eastAsia="仿宋_GB2312" w:cs="仿宋_GB2312"/>
                <w:sz w:val="24"/>
              </w:rPr>
            </w:pPr>
            <w:r>
              <w:rPr>
                <w:rFonts w:hint="eastAsia" w:ascii="仿宋_GB2312" w:hAnsi="仿宋_GB2312" w:eastAsia="仿宋_GB2312" w:cs="仿宋_GB2312"/>
                <w:sz w:val="24"/>
              </w:rPr>
              <w:t xml:space="preserve">12,693.28 </w:t>
            </w:r>
          </w:p>
        </w:tc>
        <w:tc>
          <w:tcPr>
            <w:tcW w:w="1812" w:type="dxa"/>
            <w:vAlign w:val="center"/>
          </w:tcPr>
          <w:p w14:paraId="613C7B00">
            <w:pPr>
              <w:snapToGrid w:val="0"/>
              <w:jc w:val="center"/>
              <w:outlineLvl w:val="1"/>
              <w:rPr>
                <w:rFonts w:ascii="仿宋_GB2312" w:hAnsi="仿宋_GB2312" w:eastAsia="仿宋_GB2312" w:cs="仿宋_GB2312"/>
                <w:sz w:val="24"/>
              </w:rPr>
            </w:pPr>
            <w:r>
              <w:rPr>
                <w:rFonts w:hint="eastAsia" w:ascii="仿宋_GB2312" w:hAnsi="仿宋_GB2312" w:eastAsia="仿宋_GB2312" w:cs="仿宋_GB2312"/>
                <w:sz w:val="24"/>
              </w:rPr>
              <w:t xml:space="preserve">33,284.43 </w:t>
            </w:r>
          </w:p>
        </w:tc>
        <w:tc>
          <w:tcPr>
            <w:tcW w:w="1813" w:type="dxa"/>
            <w:vAlign w:val="center"/>
          </w:tcPr>
          <w:p w14:paraId="6847A60F">
            <w:pPr>
              <w:snapToGrid w:val="0"/>
              <w:jc w:val="center"/>
              <w:outlineLvl w:val="1"/>
              <w:rPr>
                <w:rFonts w:ascii="仿宋_GB2312" w:hAnsi="仿宋_GB2312" w:eastAsia="仿宋_GB2312" w:cs="仿宋_GB2312"/>
                <w:sz w:val="24"/>
              </w:rPr>
            </w:pPr>
            <w:r>
              <w:rPr>
                <w:rFonts w:hint="eastAsia" w:ascii="仿宋_GB2312" w:hAnsi="仿宋_GB2312" w:eastAsia="仿宋_GB2312" w:cs="仿宋_GB2312"/>
                <w:sz w:val="24"/>
              </w:rPr>
              <w:t xml:space="preserve">52,925.34 </w:t>
            </w:r>
          </w:p>
        </w:tc>
        <w:tc>
          <w:tcPr>
            <w:tcW w:w="1813" w:type="dxa"/>
            <w:vAlign w:val="center"/>
          </w:tcPr>
          <w:p w14:paraId="1FBA7F58">
            <w:pPr>
              <w:snapToGrid w:val="0"/>
              <w:jc w:val="center"/>
              <w:outlineLvl w:val="1"/>
              <w:rPr>
                <w:rFonts w:ascii="仿宋_GB2312" w:hAnsi="仿宋_GB2312" w:eastAsia="仿宋_GB2312" w:cs="仿宋_GB2312"/>
                <w:sz w:val="24"/>
              </w:rPr>
            </w:pPr>
            <w:r>
              <w:rPr>
                <w:rFonts w:hint="eastAsia" w:ascii="仿宋_GB2312" w:hAnsi="仿宋_GB2312" w:eastAsia="仿宋_GB2312" w:cs="仿宋_GB2312"/>
                <w:sz w:val="24"/>
              </w:rPr>
              <w:t xml:space="preserve">79,260.57 </w:t>
            </w:r>
          </w:p>
        </w:tc>
      </w:tr>
      <w:tr w14:paraId="17C25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962" w:type="dxa"/>
            <w:vAlign w:val="center"/>
          </w:tcPr>
          <w:p w14:paraId="25F20EE1">
            <w:pPr>
              <w:snapToGrid w:val="0"/>
              <w:ind w:firstLine="480" w:firstLineChars="200"/>
              <w:jc w:val="center"/>
              <w:outlineLvl w:val="1"/>
              <w:rPr>
                <w:rFonts w:ascii="仿宋_GB2312" w:hAnsi="仿宋_GB2312" w:eastAsia="仿宋_GB2312" w:cs="仿宋_GB2312"/>
                <w:sz w:val="24"/>
              </w:rPr>
            </w:pPr>
            <w:r>
              <w:rPr>
                <w:rFonts w:hint="eastAsia" w:ascii="仿宋_GB2312" w:hAnsi="仿宋_GB2312" w:eastAsia="仿宋_GB2312" w:cs="仿宋_GB2312"/>
                <w:sz w:val="24"/>
              </w:rPr>
              <w:t>序时进度</w:t>
            </w:r>
          </w:p>
        </w:tc>
        <w:tc>
          <w:tcPr>
            <w:tcW w:w="1662" w:type="dxa"/>
            <w:vAlign w:val="center"/>
          </w:tcPr>
          <w:p w14:paraId="5231A122">
            <w:pPr>
              <w:snapToGrid w:val="0"/>
              <w:ind w:firstLine="480" w:firstLineChars="200"/>
              <w:jc w:val="center"/>
              <w:outlineLvl w:val="1"/>
              <w:rPr>
                <w:rFonts w:ascii="仿宋_GB2312" w:hAnsi="仿宋_GB2312" w:eastAsia="仿宋_GB2312" w:cs="仿宋_GB2312"/>
                <w:sz w:val="24"/>
              </w:rPr>
            </w:pPr>
            <w:r>
              <w:rPr>
                <w:rFonts w:hint="eastAsia" w:ascii="仿宋_GB2312" w:hAnsi="仿宋_GB2312" w:eastAsia="仿宋_GB2312" w:cs="仿宋_GB2312"/>
                <w:sz w:val="24"/>
              </w:rPr>
              <w:t>25%</w:t>
            </w:r>
          </w:p>
        </w:tc>
        <w:tc>
          <w:tcPr>
            <w:tcW w:w="1812" w:type="dxa"/>
            <w:vAlign w:val="center"/>
          </w:tcPr>
          <w:p w14:paraId="54FF758F">
            <w:pPr>
              <w:snapToGrid w:val="0"/>
              <w:ind w:firstLine="480" w:firstLineChars="200"/>
              <w:jc w:val="center"/>
              <w:outlineLvl w:val="1"/>
              <w:rPr>
                <w:rFonts w:ascii="仿宋_GB2312" w:hAnsi="仿宋_GB2312" w:eastAsia="仿宋_GB2312" w:cs="仿宋_GB2312"/>
                <w:sz w:val="24"/>
              </w:rPr>
            </w:pPr>
            <w:r>
              <w:rPr>
                <w:rFonts w:hint="eastAsia" w:ascii="仿宋_GB2312" w:hAnsi="仿宋_GB2312" w:eastAsia="仿宋_GB2312" w:cs="仿宋_GB2312"/>
                <w:sz w:val="24"/>
              </w:rPr>
              <w:t>50%</w:t>
            </w:r>
          </w:p>
        </w:tc>
        <w:tc>
          <w:tcPr>
            <w:tcW w:w="1813" w:type="dxa"/>
            <w:vAlign w:val="center"/>
          </w:tcPr>
          <w:p w14:paraId="674DD17A">
            <w:pPr>
              <w:snapToGrid w:val="0"/>
              <w:ind w:firstLine="480" w:firstLineChars="200"/>
              <w:jc w:val="center"/>
              <w:outlineLvl w:val="1"/>
              <w:rPr>
                <w:rFonts w:ascii="仿宋_GB2312" w:hAnsi="仿宋_GB2312" w:eastAsia="仿宋_GB2312" w:cs="仿宋_GB2312"/>
                <w:sz w:val="24"/>
              </w:rPr>
            </w:pPr>
            <w:r>
              <w:rPr>
                <w:rFonts w:hint="eastAsia" w:ascii="仿宋_GB2312" w:hAnsi="仿宋_GB2312" w:eastAsia="仿宋_GB2312" w:cs="仿宋_GB2312"/>
                <w:sz w:val="24"/>
              </w:rPr>
              <w:t>75%</w:t>
            </w:r>
          </w:p>
        </w:tc>
        <w:tc>
          <w:tcPr>
            <w:tcW w:w="1813" w:type="dxa"/>
            <w:vAlign w:val="center"/>
          </w:tcPr>
          <w:p w14:paraId="2F6A300E">
            <w:pPr>
              <w:snapToGrid w:val="0"/>
              <w:ind w:firstLine="480" w:firstLineChars="200"/>
              <w:jc w:val="center"/>
              <w:outlineLvl w:val="1"/>
              <w:rPr>
                <w:rFonts w:ascii="仿宋_GB2312" w:hAnsi="仿宋_GB2312" w:eastAsia="仿宋_GB2312" w:cs="仿宋_GB2312"/>
                <w:sz w:val="24"/>
              </w:rPr>
            </w:pPr>
            <w:r>
              <w:rPr>
                <w:rFonts w:hint="eastAsia" w:ascii="仿宋_GB2312" w:hAnsi="仿宋_GB2312" w:eastAsia="仿宋_GB2312" w:cs="仿宋_GB2312"/>
                <w:sz w:val="24"/>
              </w:rPr>
              <w:t>100%</w:t>
            </w:r>
          </w:p>
        </w:tc>
      </w:tr>
      <w:tr w14:paraId="55B29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962" w:type="dxa"/>
            <w:vAlign w:val="center"/>
          </w:tcPr>
          <w:p w14:paraId="14A24F12">
            <w:pPr>
              <w:snapToGrid w:val="0"/>
              <w:ind w:firstLine="240" w:firstLineChars="100"/>
              <w:jc w:val="center"/>
              <w:outlineLvl w:val="1"/>
              <w:rPr>
                <w:rFonts w:ascii="仿宋_GB2312" w:hAnsi="仿宋_GB2312" w:eastAsia="仿宋_GB2312" w:cs="仿宋_GB2312"/>
                <w:sz w:val="24"/>
              </w:rPr>
            </w:pPr>
            <w:r>
              <w:rPr>
                <w:rFonts w:hint="eastAsia" w:ascii="仿宋_GB2312" w:hAnsi="仿宋_GB2312" w:eastAsia="仿宋_GB2312" w:cs="仿宋_GB2312"/>
                <w:sz w:val="24"/>
              </w:rPr>
              <w:t>当季执行率</w:t>
            </w:r>
          </w:p>
        </w:tc>
        <w:tc>
          <w:tcPr>
            <w:tcW w:w="1662" w:type="dxa"/>
            <w:vAlign w:val="center"/>
          </w:tcPr>
          <w:p w14:paraId="31C0186B">
            <w:pPr>
              <w:snapToGrid w:val="0"/>
              <w:ind w:firstLine="480" w:firstLineChars="200"/>
              <w:jc w:val="center"/>
              <w:outlineLvl w:val="1"/>
              <w:rPr>
                <w:rFonts w:ascii="仿宋_GB2312" w:hAnsi="仿宋_GB2312" w:eastAsia="仿宋_GB2312" w:cs="仿宋_GB2312"/>
                <w:sz w:val="24"/>
              </w:rPr>
            </w:pPr>
            <w:r>
              <w:rPr>
                <w:rFonts w:hint="eastAsia" w:ascii="仿宋_GB2312" w:hAnsi="仿宋_GB2312" w:eastAsia="仿宋_GB2312" w:cs="仿宋_GB2312"/>
                <w:sz w:val="24"/>
              </w:rPr>
              <w:t>62.56%</w:t>
            </w:r>
          </w:p>
        </w:tc>
        <w:tc>
          <w:tcPr>
            <w:tcW w:w="1812" w:type="dxa"/>
            <w:vAlign w:val="center"/>
          </w:tcPr>
          <w:p w14:paraId="31758129">
            <w:pPr>
              <w:snapToGrid w:val="0"/>
              <w:ind w:firstLine="480" w:firstLineChars="200"/>
              <w:jc w:val="center"/>
              <w:outlineLvl w:val="1"/>
              <w:rPr>
                <w:rFonts w:ascii="仿宋_GB2312" w:hAnsi="仿宋_GB2312" w:eastAsia="仿宋_GB2312" w:cs="仿宋_GB2312"/>
                <w:sz w:val="24"/>
              </w:rPr>
            </w:pPr>
            <w:r>
              <w:rPr>
                <w:rFonts w:hint="eastAsia" w:ascii="仿宋_GB2312" w:hAnsi="仿宋_GB2312" w:eastAsia="仿宋_GB2312" w:cs="仿宋_GB2312"/>
                <w:sz w:val="24"/>
              </w:rPr>
              <w:t>82.02%</w:t>
            </w:r>
          </w:p>
        </w:tc>
        <w:tc>
          <w:tcPr>
            <w:tcW w:w="1813" w:type="dxa"/>
            <w:vAlign w:val="center"/>
          </w:tcPr>
          <w:p w14:paraId="03E8D5E5">
            <w:pPr>
              <w:snapToGrid w:val="0"/>
              <w:ind w:firstLine="480" w:firstLineChars="200"/>
              <w:jc w:val="center"/>
              <w:outlineLvl w:val="1"/>
              <w:rPr>
                <w:rFonts w:ascii="仿宋_GB2312" w:hAnsi="仿宋_GB2312" w:eastAsia="仿宋_GB2312" w:cs="仿宋_GB2312"/>
                <w:sz w:val="24"/>
              </w:rPr>
            </w:pPr>
            <w:r>
              <w:rPr>
                <w:rFonts w:hint="eastAsia" w:ascii="仿宋_GB2312" w:hAnsi="仿宋_GB2312" w:eastAsia="仿宋_GB2312" w:cs="仿宋_GB2312"/>
                <w:sz w:val="24"/>
              </w:rPr>
              <w:t>86.94%</w:t>
            </w:r>
          </w:p>
        </w:tc>
        <w:tc>
          <w:tcPr>
            <w:tcW w:w="1813" w:type="dxa"/>
            <w:vAlign w:val="center"/>
          </w:tcPr>
          <w:p w14:paraId="1662570F">
            <w:pPr>
              <w:snapToGrid w:val="0"/>
              <w:ind w:firstLine="480" w:firstLineChars="200"/>
              <w:jc w:val="center"/>
              <w:outlineLvl w:val="1"/>
              <w:rPr>
                <w:rFonts w:ascii="仿宋_GB2312" w:hAnsi="仿宋_GB2312" w:eastAsia="仿宋_GB2312" w:cs="仿宋_GB2312"/>
                <w:sz w:val="24"/>
              </w:rPr>
            </w:pPr>
            <w:r>
              <w:rPr>
                <w:rFonts w:hint="eastAsia" w:ascii="仿宋_GB2312" w:hAnsi="仿宋_GB2312" w:eastAsia="仿宋_GB2312" w:cs="仿宋_GB2312"/>
                <w:sz w:val="24"/>
              </w:rPr>
              <w:t>97.65%</w:t>
            </w:r>
          </w:p>
        </w:tc>
      </w:tr>
      <w:tr w14:paraId="03ED0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1962" w:type="dxa"/>
            <w:vAlign w:val="center"/>
          </w:tcPr>
          <w:p w14:paraId="4017F675">
            <w:pPr>
              <w:snapToGrid w:val="0"/>
              <w:jc w:val="center"/>
              <w:outlineLvl w:val="1"/>
              <w:rPr>
                <w:rFonts w:ascii="仿宋_GB2312" w:hAnsi="仿宋_GB2312" w:eastAsia="仿宋_GB2312" w:cs="仿宋_GB2312"/>
                <w:sz w:val="24"/>
              </w:rPr>
            </w:pPr>
            <w:r>
              <w:rPr>
                <w:rFonts w:hint="eastAsia" w:ascii="仿宋_GB2312" w:hAnsi="仿宋_GB2312" w:eastAsia="仿宋_GB2312" w:cs="仿宋_GB2312"/>
                <w:sz w:val="24"/>
              </w:rPr>
              <w:t>全年平均执行率</w:t>
            </w:r>
          </w:p>
        </w:tc>
        <w:tc>
          <w:tcPr>
            <w:tcW w:w="7100" w:type="dxa"/>
            <w:gridSpan w:val="4"/>
            <w:vAlign w:val="center"/>
          </w:tcPr>
          <w:p w14:paraId="7256B866">
            <w:pPr>
              <w:snapToGrid w:val="0"/>
              <w:ind w:firstLine="2880" w:firstLineChars="1200"/>
              <w:outlineLvl w:val="1"/>
              <w:rPr>
                <w:rFonts w:ascii="仿宋_GB2312" w:hAnsi="仿宋_GB2312" w:eastAsia="仿宋_GB2312" w:cs="仿宋_GB2312"/>
                <w:sz w:val="24"/>
              </w:rPr>
            </w:pPr>
            <w:r>
              <w:rPr>
                <w:rFonts w:hint="eastAsia" w:ascii="仿宋_GB2312" w:hAnsi="仿宋_GB2312" w:eastAsia="仿宋_GB2312" w:cs="仿宋_GB2312"/>
                <w:sz w:val="24"/>
              </w:rPr>
              <w:t>82.29%</w:t>
            </w:r>
          </w:p>
        </w:tc>
      </w:tr>
    </w:tbl>
    <w:p w14:paraId="3872B18F">
      <w:pPr>
        <w:snapToGrid w:val="0"/>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（2）项目完成及时性</w:t>
      </w:r>
    </w:p>
    <w:p w14:paraId="231287D4">
      <w:pPr>
        <w:snapToGrid w:val="0"/>
        <w:spacing w:line="560" w:lineRule="exact"/>
        <w:ind w:firstLine="640" w:firstLineChars="200"/>
        <w:rPr>
          <w:rFonts w:eastAsia="仿宋_GB2312"/>
        </w:rPr>
      </w:pPr>
      <w:r>
        <w:rPr>
          <w:rFonts w:hint="eastAsia" w:ascii="仿宋_GB2312" w:hAnsi="仿宋_GB2312" w:eastAsia="仿宋_GB2312" w:cs="仿宋_GB2312"/>
          <w:kern w:val="0"/>
          <w:sz w:val="32"/>
          <w:szCs w:val="32"/>
        </w:rPr>
        <w:t>我局项目都能够按照年初计划按时完成，并且各项目都有相应的项目管理者进行监督检查并及时掌握项目实际进度信息，确保预算安排的项目按计划、合同以及实施方案规定的时间完成。</w:t>
      </w:r>
    </w:p>
    <w:p w14:paraId="18F1916E">
      <w:pPr>
        <w:pStyle w:val="2"/>
        <w:spacing w:line="560" w:lineRule="exact"/>
        <w:ind w:firstLine="640"/>
        <w:rPr>
          <w:rFonts w:ascii="仿宋_GB2312" w:hAnsi="仿宋_GB2312" w:eastAsia="仿宋_GB2312" w:cs="仿宋_GB2312"/>
        </w:rPr>
      </w:pPr>
      <w:r>
        <w:rPr>
          <w:rFonts w:hint="eastAsia" w:ascii="仿宋_GB2312" w:hAnsi="仿宋_GB2312" w:eastAsia="仿宋_GB2312" w:cs="仿宋_GB2312"/>
        </w:rPr>
        <w:t>3、效果性</w:t>
      </w:r>
    </w:p>
    <w:p w14:paraId="0664F265">
      <w:pPr>
        <w:spacing w:line="560" w:lineRule="exact"/>
        <w:ind w:firstLine="640" w:firstLineChars="200"/>
        <w:rPr>
          <w:rFonts w:ascii="仿宋_GB2312" w:eastAsia="仿宋_GB2312"/>
          <w:sz w:val="32"/>
          <w:szCs w:val="32"/>
        </w:rPr>
      </w:pPr>
      <w:r>
        <w:rPr>
          <w:rFonts w:hint="eastAsia" w:ascii="仿宋_GB2312" w:hAnsi="仿宋_GB2312" w:eastAsia="仿宋_GB2312" w:cs="仿宋_GB2312"/>
          <w:sz w:val="32"/>
          <w:szCs w:val="32"/>
        </w:rPr>
        <w:t>（1）</w:t>
      </w:r>
      <w:r>
        <w:rPr>
          <w:rFonts w:hint="eastAsia" w:ascii="仿宋_GB2312" w:eastAsia="仿宋_GB2312"/>
          <w:sz w:val="32"/>
          <w:szCs w:val="32"/>
        </w:rPr>
        <w:t>全力推进河套合作区建设，加快创新资源集聚</w:t>
      </w:r>
    </w:p>
    <w:p w14:paraId="69B3C077">
      <w:pPr>
        <w:spacing w:line="560" w:lineRule="exact"/>
        <w:ind w:firstLine="640" w:firstLineChars="200"/>
        <w:rPr>
          <w:rFonts w:ascii="仿宋_GB2312" w:eastAsia="仿宋_GB2312"/>
          <w:sz w:val="32"/>
          <w:szCs w:val="32"/>
        </w:rPr>
      </w:pPr>
      <w:r>
        <w:rPr>
          <w:rFonts w:hint="eastAsia" w:ascii="仿宋_GB2312" w:eastAsia="仿宋_GB2312"/>
          <w:sz w:val="32"/>
          <w:szCs w:val="32"/>
        </w:rPr>
        <w:t>为深入贯彻落实习近平总书记“规划建设好河套深港科技创新合作区”的指示要求，以“河套深港科技创新合作区”为牵引，建设综合性国家科学中心。通过“租购改建”筹集约50万平方米高品质科研空间，打造国际生物医药产业园、国际量子研究院、香港科学园深圳分园等8个高质量安全专业化科研园区，聚焦生命、信息、材料科学三大方向，落户和推进优质科研项目超过140个。积极布局世界创新城市合作组织等一批国家级重大平台及项目，着力引进香港大学深圳医院转化医学研究中心等5所港校的9个高端科研项目，主动谋划西门子能源深圳创新中心等7个重大产业化项目。此外，深圳园区已经建立UNI 香港青年创业空间等6个港澳青年创新创业基地，具有港澳背景的团队共计561人。目前，正在谋划打造标志性的河套香港青年创新创业谷。</w:t>
      </w:r>
    </w:p>
    <w:p w14:paraId="2FEB82C7">
      <w:pPr>
        <w:spacing w:line="560" w:lineRule="exact"/>
        <w:ind w:firstLine="640" w:firstLineChars="200"/>
        <w:rPr>
          <w:rFonts w:ascii="仿宋_GB2312" w:eastAsia="仿宋_GB2312"/>
          <w:sz w:val="32"/>
          <w:szCs w:val="32"/>
        </w:rPr>
      </w:pPr>
      <w:r>
        <w:rPr>
          <w:rFonts w:hint="eastAsia" w:ascii="仿宋_GB2312" w:eastAsia="仿宋_GB2312"/>
          <w:sz w:val="32"/>
          <w:szCs w:val="32"/>
        </w:rPr>
        <w:t>（2）高标准编制“十四五”规划，布局建设中央创新区</w:t>
      </w:r>
    </w:p>
    <w:p w14:paraId="7904D532">
      <w:pPr>
        <w:spacing w:line="560" w:lineRule="exact"/>
        <w:ind w:firstLine="640" w:firstLineChars="200"/>
        <w:rPr>
          <w:rFonts w:ascii="仿宋_GB2312" w:eastAsia="仿宋_GB2312"/>
          <w:sz w:val="32"/>
          <w:szCs w:val="32"/>
        </w:rPr>
      </w:pPr>
      <w:r>
        <w:rPr>
          <w:rFonts w:hint="eastAsia" w:ascii="仿宋_GB2312" w:eastAsia="仿宋_GB2312"/>
          <w:sz w:val="32"/>
          <w:szCs w:val="32"/>
        </w:rPr>
        <w:t>正式出台《福田区科技创新“十四五”专项规划》，并启动《福田区推进“中央创新区”建设三年行动方案（2021-2023年）》的编制工作，壮大战新产业集群。一是紧跟深圳市“20+7”战略部署，争取承接9大战新产业集群及3大未来产业。牵头多个产业部门，已完成“六个一”工作体系的框架搭建，建立“每周更新材料、每月汇报进度”调度机制。二是利用合作区的独特优势，吸引香港及国际优势科技力量参与，初步谋划以合肥国家实验室深圳基地、粤港澳大湾区量子科学中心等项目为代表的量子硅谷，谋划以全球半导体龙头企业意法半导体全球封测创新中心等项目为代表的湾区芯谷。三是出台战略性新兴产业提质增效工作方案、专利制造运用质量提升工作方案、国高企业培育方案，从政策宣传、培育辅导等七个方面细化工作任务，推动战新产业高质量发展。帮助203家企业成功纳入战新产业企业名录库。初步形成以龙头企业为核心，骨干企业为支柱，大中小企业协同合作发展的格局。四是探索福田区人工智能应用示范区建设、智能网联汽车应用示范区建设，充分利用鹏城实验室分支机构粤港澳大湾区数字经济研究院、自动驾驶领域独角兽企业元戎启行等优势，加大政策支持力度，促进人工智能企业、智能网联汽车产业集聚发展。五是重点引进一批新能源、信息通信、集成电路、人工智能等领域的链主龙头企业，招引一批以入选“2020全球50强机器人公司”的全球独角兽企业极智嘉为代表的智能机器人领域科技企业、以连续多年入选全球网络安全创新500强企业的安恒信息为代表的网络信息安全领域科技企业、以实现国内首次量产具备完全自主知识产权全套汽车前装产品的佑驾创新为代表的人工智能领域高潜力企业落户或设立子公司扎根福田，充分发挥行业标杆示范及产业辐射带动作用，促进产业链集聚发展。</w:t>
      </w:r>
    </w:p>
    <w:p w14:paraId="4973D540">
      <w:pPr>
        <w:spacing w:line="560" w:lineRule="exact"/>
        <w:ind w:firstLine="640" w:firstLineChars="200"/>
        <w:rPr>
          <w:rFonts w:ascii="仿宋_GB2312" w:eastAsia="仿宋_GB2312"/>
          <w:sz w:val="32"/>
          <w:szCs w:val="32"/>
        </w:rPr>
      </w:pPr>
      <w:r>
        <w:rPr>
          <w:rFonts w:hint="eastAsia" w:ascii="仿宋_GB2312" w:eastAsia="仿宋_GB2312"/>
          <w:sz w:val="32"/>
          <w:szCs w:val="32"/>
        </w:rPr>
        <w:t>（3）全方位服务科技企业，促进辖区企业高质量发展</w:t>
      </w:r>
    </w:p>
    <w:p w14:paraId="7BC8DC47">
      <w:pPr>
        <w:spacing w:line="560" w:lineRule="exact"/>
        <w:ind w:firstLine="640" w:firstLineChars="200"/>
        <w:rPr>
          <w:rFonts w:ascii="仿宋_GB2312" w:eastAsia="仿宋_GB2312"/>
          <w:sz w:val="32"/>
          <w:szCs w:val="32"/>
        </w:rPr>
      </w:pPr>
      <w:r>
        <w:rPr>
          <w:rFonts w:hint="eastAsia" w:ascii="仿宋_GB2312" w:eastAsia="仿宋_GB2312"/>
          <w:sz w:val="32"/>
          <w:szCs w:val="32"/>
        </w:rPr>
        <w:t>一是完善产业扶持政策。2021年，我局预计拨付扶持资金3.5亿元，新增支持条款5条，增加扶持力度11条。积极鼓励生物医药研发服务机构、药品、医疗器械上市许可持有人落户，针对性破解EDA工具“卡脖子”难题、中小企业在试制、测试和验证过程中成本较高等难题，进一步加大对集成电路产业的支持。二是拓展产业空间供给。通过加强与企业合作联动,建设标志性科技楼宇，将为我区增加3万平米的高质量产业空间。对入驻的科技企业,每年最高可给予800万元租金支持，有效地降低企业运营成本。首批认定以硬科技为代表的华强北街为“硅街”，以“深南硅园”为代表的四个“硅园”。三是修订完善并出台《福田区科技产业园区（孵化器）认定与管理暂行办法（2021年）》。将更多的民营园区（孵化器）纳入我区产业空间体系，增设运营机构自有种子资金、获得投融资科技企业数量等认定标准，引导管理机构提质增效。四是加强科技人才服务。制定重点团队支持政策，主动对接香港高校科研团队，全年新增7个高层次团队，支持金额高达2175万元。在“英才荟3.0”中新增3项研发团队支持政策，引进高新企业人才407名，全年支持金额近5000万元。完善2021年人才住房配套支持政策，为166家国高企业、研发机构等共分配房源166套，让更多的人才资源汇聚福田。五是加大强企培育力度。全年开展国高企业专场培育辅导会12场，对企业开展“一对一”上门辅导，发动935家企业申报国高。开展国内首场知识产权首席运营官论坛（CIPO）活动及其他交流活动18场，上门服务荣耀终端、平安科技、中广核等产业龙头企业超过20家，培育知识产权强企10家，培育高价值专利150件，助力我区打造知识产权先行示范区。联合中国（南方）知识产权运营中心，成立我区首个“新一代信息技术知识产权联盟”。</w:t>
      </w:r>
    </w:p>
    <w:p w14:paraId="63B77C70">
      <w:pPr>
        <w:spacing w:line="560" w:lineRule="exact"/>
        <w:ind w:firstLine="640" w:firstLineChars="200"/>
        <w:rPr>
          <w:rFonts w:ascii="仿宋_GB2312" w:eastAsia="仿宋_GB2312"/>
          <w:sz w:val="32"/>
          <w:szCs w:val="32"/>
        </w:rPr>
      </w:pPr>
      <w:r>
        <w:rPr>
          <w:rFonts w:hint="eastAsia" w:ascii="仿宋_GB2312" w:eastAsia="仿宋_GB2312"/>
          <w:sz w:val="32"/>
          <w:szCs w:val="32"/>
        </w:rPr>
        <w:t>（4）开展双创相关工作，构建创新创业良好生态</w:t>
      </w:r>
    </w:p>
    <w:p w14:paraId="112DBD37">
      <w:pPr>
        <w:spacing w:line="560" w:lineRule="exact"/>
        <w:ind w:firstLine="640" w:firstLineChars="200"/>
        <w:rPr>
          <w:rFonts w:ascii="仿宋_GB2312" w:eastAsia="仿宋_GB2312"/>
          <w:sz w:val="32"/>
          <w:szCs w:val="32"/>
        </w:rPr>
      </w:pPr>
      <w:r>
        <w:rPr>
          <w:rFonts w:hint="eastAsia" w:ascii="仿宋_GB2312" w:eastAsia="仿宋_GB2312"/>
          <w:sz w:val="32"/>
          <w:szCs w:val="32"/>
        </w:rPr>
        <w:t>一是制定下发《深圳市福田区双创示范基地建设方案（2021-2023年）》。扎实推进双创工作。在全球化创业方向示范基地工作交流会上，国家发改委点名让福田区作经验交流发言。二是在合作区举办2021年全国双创周深圳活动暨第七届深圳国际创客周主会场活动，同期举办了五场福田双创周分会场活动，线上近100万人次参与。三是举办深创赛福田预选赛。在比赛模式、落地跟踪、配套服务等方面全面升级，赛事成果斐然。目前，我区项目报名总量734个，再创新高，较2020年同比增长31%；邀请创业投资机构266家、评审专家347人；推荐晋级深创赛半决赛项目64个，其中16个项目晋级市赛行业决赛，10个项目获奖，获奖率62.5%，9个项目成功晋级国赛。</w:t>
      </w:r>
    </w:p>
    <w:p w14:paraId="22C0A95E">
      <w:pPr>
        <w:spacing w:line="560" w:lineRule="exact"/>
        <w:ind w:firstLine="640" w:firstLineChars="200"/>
        <w:rPr>
          <w:rFonts w:ascii="仿宋_GB2312" w:eastAsia="仿宋_GB2312"/>
          <w:sz w:val="32"/>
          <w:szCs w:val="32"/>
        </w:rPr>
      </w:pPr>
      <w:r>
        <w:rPr>
          <w:rFonts w:hint="eastAsia" w:ascii="仿宋_GB2312" w:eastAsia="仿宋_GB2312"/>
          <w:sz w:val="32"/>
          <w:szCs w:val="32"/>
        </w:rPr>
        <w:t>（5）举办各类科技活动，营造科技创新浓厚氛围</w:t>
      </w:r>
    </w:p>
    <w:p w14:paraId="542E5270">
      <w:pPr>
        <w:spacing w:line="560" w:lineRule="exact"/>
        <w:ind w:firstLine="640" w:firstLineChars="200"/>
        <w:rPr>
          <w:rFonts w:ascii="仿宋_GB2312" w:eastAsia="仿宋_GB2312"/>
          <w:sz w:val="32"/>
          <w:szCs w:val="32"/>
        </w:rPr>
      </w:pPr>
      <w:r>
        <w:rPr>
          <w:rFonts w:hint="eastAsia" w:ascii="仿宋_GB2312" w:eastAsia="仿宋_GB2312"/>
          <w:sz w:val="32"/>
          <w:szCs w:val="32"/>
        </w:rPr>
        <w:t>一是强化第一资源理念，助力科技人才集聚。出色完成第十九届中国国际人才交流大会福田区各项任务，邀请元戎启行、未来机器人、香港科技大学等44家优秀科创企业及研究机构参展，吸引30余个国家和地区的1000多家专业组织、机构、企业，10000余名海内外专家学者、高端人才集聚福田，区科创局（科协）荣获全省唯一县区级“最佳组织奖”。二是大力开展全民科普，提升居民科学素养。面向市民精心策划“科普嘉年华”等科普及学术科技交流活动120余场，直接受众人次达25万。全国科技活动周福田区系列活动，同步线上直播点击量超230万；全国科普日暨深圳（福田）科普月系列活动，得到新华网、央广网以及省市30余家媒体广泛报道，科普活动数量和质量位于全市前列。三是构建社会全域参与，科普阵地日益完善。积极挖掘社会资源和福田科技企业特色，新增创建“华强北博物馆”、“中广核研究院”等14家市级科普教育基地和示范点，全区累计创建科普教育基地45个（其中国家级1个、省级6个、市级38个），构建全社会参与科普工作新局面。四是打造科技活动品牌，科技教育成效显著。打造“我是小小科学家”、“福田青少年科技节”、“VR进校园”等活动品牌， 2021年福田区学生斩获世界级、国家级科创竞赛冠军10项，助力福田科技教育在全国走在前列。</w:t>
      </w:r>
    </w:p>
    <w:p w14:paraId="101D83FB">
      <w:pPr>
        <w:spacing w:line="560" w:lineRule="exact"/>
        <w:ind w:firstLine="640" w:firstLineChars="200"/>
        <w:rPr>
          <w:rFonts w:ascii="仿宋_GB2312" w:eastAsia="仿宋_GB2312"/>
          <w:sz w:val="32"/>
          <w:szCs w:val="32"/>
        </w:rPr>
      </w:pPr>
      <w:r>
        <w:rPr>
          <w:rFonts w:hint="eastAsia" w:ascii="仿宋_GB2312" w:eastAsia="仿宋_GB2312"/>
          <w:sz w:val="32"/>
          <w:szCs w:val="32"/>
        </w:rPr>
        <w:t>（6）开展党史学习教育，夯实党风廉政基础</w:t>
      </w:r>
    </w:p>
    <w:p w14:paraId="575D003C">
      <w:pPr>
        <w:spacing w:line="560" w:lineRule="exact"/>
        <w:ind w:firstLine="640" w:firstLineChars="200"/>
        <w:rPr>
          <w:rFonts w:ascii="仿宋_GB2312" w:eastAsia="仿宋_GB2312"/>
          <w:sz w:val="32"/>
          <w:szCs w:val="32"/>
        </w:rPr>
      </w:pPr>
      <w:r>
        <w:rPr>
          <w:rFonts w:hint="eastAsia" w:ascii="仿宋_GB2312" w:eastAsia="仿宋_GB2312"/>
          <w:sz w:val="32"/>
          <w:szCs w:val="32"/>
        </w:rPr>
        <w:t>区科创局扎实开展党史学习教育，第一时间成立福田区科技创新局党史学习教育领导小组，印发党史学习教育的实施方案。结合党建“书记项目”，为企业、群众办实事，与辖区十余家重点科技企业开展联合党建活动，参与社区志愿活动90人次，共向辖区科技企业发放口罩10万余个，并对在新冠疫苗注射中的突出表现突出的企业，颁发“抗疫之星”奖牌。</w:t>
      </w:r>
    </w:p>
    <w:p w14:paraId="25DEE5A6">
      <w:pPr>
        <w:spacing w:line="560" w:lineRule="exact"/>
        <w:ind w:firstLine="640" w:firstLineChars="200"/>
        <w:rPr>
          <w:rFonts w:ascii="仿宋_GB2312" w:eastAsia="仿宋_GB2312"/>
          <w:sz w:val="32"/>
          <w:szCs w:val="32"/>
        </w:rPr>
      </w:pPr>
      <w:r>
        <w:rPr>
          <w:rFonts w:hint="eastAsia" w:ascii="仿宋_GB2312" w:eastAsia="仿宋_GB2312"/>
          <w:sz w:val="32"/>
          <w:szCs w:val="32"/>
        </w:rPr>
        <w:t>在局党组的领导下，区科创局认真落实巡视巡察整改、审计整改，建章立制，建立健全各项管理制度。坚决落实区委巡察督查工作要求，对上轮巡察发现的22项问题坚决整改，在不到1个月的时间，已完成整改18项，建立完善各项制度9个，持续抓好纪律教育和监督。从严从实开展审计整改工作，起草《福田区科技创新局产业资金内部审核管理制度（试行）》，明确专项资金的工作流程；聘请第三方会计机构对产业资金进行复核，规避科室资金审核和发放错误的风险；及时追收14家迁出企业的扶持资金共计14,164,900元，督促1家企业迁回福田，对怠于还款的企业，多次约谈督促，委托专业律师团队、出具行政处理决定书等方式进一步追收，避免了财政资金损失。</w:t>
      </w:r>
    </w:p>
    <w:p w14:paraId="731CE1B3">
      <w:pPr>
        <w:pStyle w:val="2"/>
        <w:numPr>
          <w:ilvl w:val="0"/>
          <w:numId w:val="2"/>
        </w:numPr>
        <w:spacing w:line="560" w:lineRule="exact"/>
        <w:ind w:firstLine="640"/>
        <w:rPr>
          <w:rFonts w:ascii="仿宋_GB2312" w:eastAsia="仿宋_GB2312"/>
        </w:rPr>
      </w:pPr>
      <w:r>
        <w:rPr>
          <w:rFonts w:hint="eastAsia" w:ascii="仿宋_GB2312" w:eastAsia="仿宋_GB2312"/>
        </w:rPr>
        <w:t>公平性</w:t>
      </w:r>
    </w:p>
    <w:p w14:paraId="360B8C69">
      <w:pPr>
        <w:pStyle w:val="2"/>
        <w:spacing w:line="560" w:lineRule="exact"/>
        <w:ind w:firstLine="640"/>
        <w:rPr>
          <w:rFonts w:ascii="仿宋_GB2312" w:eastAsia="仿宋_GB2312"/>
        </w:rPr>
      </w:pPr>
      <w:r>
        <w:rPr>
          <w:rFonts w:hint="eastAsia" w:ascii="仿宋_GB2312" w:eastAsia="仿宋_GB2312"/>
        </w:rPr>
        <w:t xml:space="preserve">    2021年度，我局认真听取群众意见，在矛盾没有激化前抓住问题不放，坚持早发现、早控制、早解决，真正做到“情况在一线掌握，工作在一线落实，问题在一线解决，矛盾在一线化解”，减少了群众上访事件的发生。同时，我局为辖区群众提供了信访机制，如热线、邮箱、网站留言等方式。</w:t>
      </w:r>
    </w:p>
    <w:p w14:paraId="74165FB3">
      <w:pPr>
        <w:spacing w:line="560" w:lineRule="exact"/>
        <w:ind w:firstLine="640" w:firstLineChars="200"/>
        <w:rPr>
          <w:rFonts w:ascii="黑体" w:hAnsi="黑体" w:eastAsia="黑体"/>
          <w:sz w:val="32"/>
          <w:szCs w:val="32"/>
        </w:rPr>
      </w:pPr>
      <w:r>
        <w:rPr>
          <w:rFonts w:hint="eastAsia" w:ascii="黑体" w:hAnsi="黑体" w:eastAsia="黑体"/>
          <w:sz w:val="32"/>
          <w:szCs w:val="32"/>
        </w:rPr>
        <w:t xml:space="preserve"> 三、总体评价和整改措施</w:t>
      </w:r>
    </w:p>
    <w:p w14:paraId="196241C7">
      <w:pPr>
        <w:adjustRightInd w:val="0"/>
        <w:snapToGrid w:val="0"/>
        <w:spacing w:line="560" w:lineRule="exact"/>
        <w:ind w:firstLine="643" w:firstLineChars="200"/>
        <w:rPr>
          <w:rFonts w:ascii="楷体" w:hAnsi="楷体" w:eastAsia="楷体"/>
          <w:b/>
          <w:color w:val="000000"/>
          <w:sz w:val="32"/>
          <w:szCs w:val="32"/>
        </w:rPr>
      </w:pPr>
      <w:r>
        <w:rPr>
          <w:rFonts w:hint="eastAsia" w:ascii="楷体" w:hAnsi="楷体" w:eastAsia="楷体"/>
          <w:b/>
          <w:color w:val="000000"/>
          <w:sz w:val="32"/>
          <w:szCs w:val="32"/>
        </w:rPr>
        <w:t>（一）预算绩效管理工作主要经验、做法。</w:t>
      </w:r>
    </w:p>
    <w:p w14:paraId="69822A8F">
      <w:pPr>
        <w:spacing w:line="560" w:lineRule="exact"/>
        <w:ind w:firstLine="640" w:firstLineChars="200"/>
        <w:rPr>
          <w:rFonts w:ascii="仿宋_GB2312" w:eastAsia="仿宋_GB2312"/>
          <w:color w:val="000000"/>
          <w:kern w:val="0"/>
          <w:sz w:val="32"/>
          <w:szCs w:val="32"/>
        </w:rPr>
      </w:pPr>
      <w:r>
        <w:rPr>
          <w:rFonts w:hint="eastAsia" w:ascii="仿宋_GB2312" w:eastAsia="仿宋_GB2312"/>
          <w:color w:val="000000"/>
          <w:kern w:val="0"/>
          <w:sz w:val="32"/>
          <w:szCs w:val="32"/>
        </w:rPr>
        <w:t>我局建立了队伍管理长效机制，不断加强队伍正规范化建设，同时把绩效理念融入预算管理全过程，着力构建预算绩效管理机制，并强调要重点从加强预算绩效目标管理、强化绩效运行跟踪监控、督促绩效评价和整改、增强预算绩效管理透明度等方面强化管理、落实责任，预算绩效管理取得了一定的成绩和经验。</w:t>
      </w:r>
    </w:p>
    <w:p w14:paraId="41A7A3CA">
      <w:pPr>
        <w:spacing w:line="560" w:lineRule="exact"/>
        <w:ind w:firstLine="640" w:firstLineChars="200"/>
        <w:rPr>
          <w:rFonts w:ascii="仿宋_GB2312" w:eastAsia="仿宋_GB2312"/>
          <w:color w:val="000000"/>
          <w:kern w:val="0"/>
          <w:sz w:val="32"/>
          <w:szCs w:val="32"/>
        </w:rPr>
      </w:pPr>
      <w:r>
        <w:rPr>
          <w:rFonts w:hint="eastAsia" w:ascii="仿宋_GB2312" w:eastAsia="仿宋_GB2312"/>
          <w:color w:val="000000"/>
          <w:kern w:val="0"/>
          <w:sz w:val="32"/>
          <w:szCs w:val="32"/>
        </w:rPr>
        <w:t>1、建立制度保障。</w:t>
      </w:r>
    </w:p>
    <w:p w14:paraId="57434F2D">
      <w:pPr>
        <w:spacing w:line="560" w:lineRule="exact"/>
        <w:ind w:firstLine="640" w:firstLineChars="200"/>
        <w:rPr>
          <w:rFonts w:ascii="仿宋_GB2312" w:eastAsia="仿宋_GB2312"/>
          <w:color w:val="000000"/>
          <w:kern w:val="0"/>
          <w:sz w:val="32"/>
          <w:szCs w:val="32"/>
        </w:rPr>
      </w:pPr>
      <w:r>
        <w:rPr>
          <w:rFonts w:hint="eastAsia" w:ascii="仿宋_GB2312" w:eastAsia="仿宋_GB2312"/>
          <w:color w:val="000000"/>
          <w:kern w:val="0"/>
          <w:sz w:val="32"/>
          <w:szCs w:val="32"/>
        </w:rPr>
        <w:t>我局在财务制度中对预算绩效管理作出了相关规定，明确了预算绩效目标及绩效执行情况的编报与审核流程，并将预算绩效执行结果作为次年预算申报依据。</w:t>
      </w:r>
    </w:p>
    <w:p w14:paraId="4C416689">
      <w:pPr>
        <w:spacing w:line="560" w:lineRule="exact"/>
        <w:ind w:firstLine="640" w:firstLineChars="200"/>
        <w:rPr>
          <w:rFonts w:ascii="仿宋_GB2312" w:eastAsia="仿宋_GB2312"/>
          <w:color w:val="000000"/>
          <w:kern w:val="0"/>
          <w:sz w:val="32"/>
          <w:szCs w:val="32"/>
        </w:rPr>
      </w:pPr>
      <w:r>
        <w:rPr>
          <w:rFonts w:ascii="仿宋_GB2312" w:eastAsia="仿宋_GB2312"/>
          <w:color w:val="000000"/>
          <w:kern w:val="0"/>
          <w:sz w:val="32"/>
          <w:szCs w:val="32"/>
        </w:rPr>
        <w:t>2.加强绩效目标全流程管理</w:t>
      </w:r>
    </w:p>
    <w:p w14:paraId="040772E9">
      <w:pPr>
        <w:spacing w:line="560" w:lineRule="exact"/>
        <w:ind w:firstLine="640" w:firstLineChars="200"/>
        <w:rPr>
          <w:rFonts w:ascii="仿宋_GB2312" w:eastAsia="仿宋_GB2312"/>
          <w:color w:val="000000"/>
          <w:kern w:val="0"/>
          <w:sz w:val="32"/>
          <w:szCs w:val="32"/>
        </w:rPr>
      </w:pPr>
      <w:r>
        <w:rPr>
          <w:rFonts w:ascii="仿宋_GB2312" w:eastAsia="仿宋_GB2312"/>
          <w:color w:val="000000"/>
          <w:kern w:val="0"/>
          <w:sz w:val="32"/>
          <w:szCs w:val="32"/>
        </w:rPr>
        <w:t>一是</w:t>
      </w:r>
      <w:r>
        <w:rPr>
          <w:rFonts w:hint="eastAsia" w:ascii="仿宋_GB2312" w:eastAsia="仿宋_GB2312"/>
          <w:color w:val="000000"/>
          <w:kern w:val="0"/>
          <w:sz w:val="32"/>
          <w:szCs w:val="32"/>
        </w:rPr>
        <w:t>我局</w:t>
      </w:r>
      <w:r>
        <w:rPr>
          <w:rFonts w:ascii="仿宋_GB2312" w:eastAsia="仿宋_GB2312"/>
          <w:color w:val="000000"/>
          <w:kern w:val="0"/>
          <w:sz w:val="32"/>
          <w:szCs w:val="32"/>
        </w:rPr>
        <w:t>在编制202</w:t>
      </w:r>
      <w:r>
        <w:rPr>
          <w:rFonts w:hint="eastAsia" w:ascii="仿宋_GB2312" w:eastAsia="仿宋_GB2312"/>
          <w:color w:val="000000"/>
          <w:kern w:val="0"/>
          <w:sz w:val="32"/>
          <w:szCs w:val="32"/>
        </w:rPr>
        <w:t>1</w:t>
      </w:r>
      <w:r>
        <w:rPr>
          <w:rFonts w:ascii="仿宋_GB2312" w:eastAsia="仿宋_GB2312"/>
          <w:color w:val="000000"/>
          <w:kern w:val="0"/>
          <w:sz w:val="32"/>
          <w:szCs w:val="32"/>
        </w:rPr>
        <w:t>年度预算时，要求各科室在梳理本科室年度工作计划的基础上，按照相关要求和标准编制项目绩效目标，办公室对各项目的绩效目标进行审核与汇总，并形成部门整体绩效目标向财政部门申报。在部门预算执行的过程中，始终坚持以完成整体绩效目标和项目绩效目标为导向，确保资金使用围绕年度工作目标进行。二是</w:t>
      </w:r>
      <w:r>
        <w:rPr>
          <w:rFonts w:hint="eastAsia" w:ascii="仿宋_GB2312" w:eastAsia="仿宋_GB2312"/>
          <w:color w:val="000000"/>
          <w:kern w:val="0"/>
          <w:sz w:val="32"/>
          <w:szCs w:val="32"/>
        </w:rPr>
        <w:t>我局</w:t>
      </w:r>
      <w:r>
        <w:rPr>
          <w:rFonts w:ascii="仿宋_GB2312" w:eastAsia="仿宋_GB2312"/>
          <w:color w:val="000000"/>
          <w:kern w:val="0"/>
          <w:sz w:val="32"/>
          <w:szCs w:val="32"/>
        </w:rPr>
        <w:t>定期对预算项目开展监控,在项目执行过程中形成动态监管反馈机制，对项目执行过程中可能出现的问题及时纠正。三是预算执行结束后，及时对预算资金产出的经济性、效率性、效益性实施评价，并按照财政要求，形成项目自评表与整体绩效自评报告。对预算资金产出的经济性、效率性、效益性实施评价，并按照财政要求，形成项目自评表与整体绩效自评报告。</w:t>
      </w:r>
    </w:p>
    <w:p w14:paraId="2CCFFFA8">
      <w:pPr>
        <w:spacing w:line="560" w:lineRule="exact"/>
        <w:ind w:firstLine="640" w:firstLineChars="200"/>
        <w:rPr>
          <w:rFonts w:ascii="仿宋_GB2312" w:eastAsia="仿宋_GB2312"/>
          <w:color w:val="000000"/>
          <w:kern w:val="0"/>
          <w:sz w:val="32"/>
          <w:szCs w:val="32"/>
        </w:rPr>
      </w:pPr>
      <w:r>
        <w:rPr>
          <w:rFonts w:hint="eastAsia" w:ascii="仿宋_GB2312" w:eastAsia="仿宋_GB2312"/>
          <w:color w:val="000000"/>
          <w:kern w:val="0"/>
          <w:sz w:val="32"/>
          <w:szCs w:val="32"/>
        </w:rPr>
        <w:t>3、</w:t>
      </w:r>
      <w:r>
        <w:rPr>
          <w:rFonts w:ascii="仿宋_GB2312" w:eastAsia="仿宋_GB2312"/>
          <w:color w:val="000000"/>
          <w:kern w:val="0"/>
          <w:sz w:val="32"/>
          <w:szCs w:val="32"/>
        </w:rPr>
        <w:t>加强部门间配合与沟通</w:t>
      </w:r>
    </w:p>
    <w:p w14:paraId="428F8D8C">
      <w:pPr>
        <w:spacing w:line="560" w:lineRule="exact"/>
        <w:ind w:firstLine="640" w:firstLineChars="200"/>
        <w:rPr>
          <w:rFonts w:ascii="仿宋_GB2312" w:eastAsia="仿宋_GB2312"/>
          <w:color w:val="000000"/>
          <w:kern w:val="0"/>
          <w:sz w:val="32"/>
          <w:szCs w:val="32"/>
        </w:rPr>
      </w:pPr>
      <w:r>
        <w:rPr>
          <w:rFonts w:hint="eastAsia" w:ascii="仿宋_GB2312" w:eastAsia="仿宋_GB2312"/>
          <w:color w:val="000000"/>
          <w:kern w:val="0"/>
          <w:sz w:val="32"/>
          <w:szCs w:val="32"/>
        </w:rPr>
        <w:t>我局</w:t>
      </w:r>
      <w:r>
        <w:rPr>
          <w:rFonts w:ascii="仿宋_GB2312" w:eastAsia="仿宋_GB2312"/>
          <w:color w:val="000000"/>
          <w:kern w:val="0"/>
          <w:sz w:val="32"/>
          <w:szCs w:val="32"/>
        </w:rPr>
        <w:t>在预算执行过程中定期进行预算执行进度分析，进行资金动态计划管理。办公室与预项目责任负责人在项目推进、资金进度、绩效目标实现等方面存在的问题进行多次沟通，从各方面促进资金支付和绩效目标。</w:t>
      </w:r>
    </w:p>
    <w:p w14:paraId="18361292">
      <w:pPr>
        <w:spacing w:line="560" w:lineRule="exact"/>
        <w:ind w:firstLine="643" w:firstLineChars="200"/>
        <w:rPr>
          <w:rFonts w:ascii="仿宋_GB2312" w:eastAsia="仿宋_GB2312"/>
          <w:color w:val="000000"/>
          <w:kern w:val="0"/>
          <w:sz w:val="32"/>
          <w:szCs w:val="32"/>
        </w:rPr>
      </w:pPr>
      <w:r>
        <w:rPr>
          <w:rFonts w:hint="eastAsia" w:ascii="楷体" w:hAnsi="楷体" w:eastAsia="楷体"/>
          <w:b/>
          <w:color w:val="000000"/>
          <w:sz w:val="32"/>
          <w:szCs w:val="32"/>
        </w:rPr>
        <w:t>（二）部门整体支出绩效存在问题及改进措施。</w:t>
      </w:r>
    </w:p>
    <w:p w14:paraId="6D73354A">
      <w:pPr>
        <w:spacing w:line="560" w:lineRule="exact"/>
        <w:ind w:firstLine="640" w:firstLineChars="200"/>
        <w:rPr>
          <w:rFonts w:ascii="仿宋_GB2312" w:eastAsia="仿宋_GB2312"/>
          <w:color w:val="000000"/>
          <w:kern w:val="0"/>
          <w:sz w:val="32"/>
          <w:szCs w:val="32"/>
        </w:rPr>
      </w:pPr>
      <w:r>
        <w:rPr>
          <w:rFonts w:hint="eastAsia" w:ascii="仿宋_GB2312" w:eastAsia="仿宋_GB2312"/>
          <w:color w:val="000000"/>
          <w:kern w:val="0"/>
          <w:sz w:val="32"/>
          <w:szCs w:val="32"/>
        </w:rPr>
        <w:t>1、存在的问题。通过本次部门整体支出自评发现,我局整体支出执行进度良好，主要表现为:</w:t>
      </w:r>
    </w:p>
    <w:p w14:paraId="77D0584F">
      <w:pPr>
        <w:spacing w:line="560" w:lineRule="exact"/>
        <w:ind w:firstLine="640" w:firstLineChars="200"/>
        <w:rPr>
          <w:rFonts w:ascii="仿宋_GB2312" w:eastAsia="仿宋_GB2312"/>
          <w:color w:val="000000"/>
          <w:kern w:val="0"/>
          <w:sz w:val="32"/>
          <w:szCs w:val="32"/>
        </w:rPr>
      </w:pPr>
      <w:r>
        <w:rPr>
          <w:rFonts w:hint="eastAsia" w:ascii="仿宋_GB2312" w:eastAsia="仿宋_GB2312"/>
          <w:color w:val="000000"/>
          <w:kern w:val="0"/>
          <w:sz w:val="32"/>
          <w:szCs w:val="32"/>
        </w:rPr>
        <w:t>（1）绩效指标设置完整性和明确性不足。目前我局各预算项目绩效目标由各科室经办人员设置，造成设置目标时主观性较大;即使是同类型的项目，由于各人理解不同，设置目标也不相同，缺乏统一标准，存在个别项目绩效指标设置不够完整或者不明确的情况，对全面客观科学的考核项目完成情况造成一定困难。</w:t>
      </w:r>
    </w:p>
    <w:p w14:paraId="0ED8B56E">
      <w:pPr>
        <w:spacing w:line="560" w:lineRule="exact"/>
        <w:ind w:firstLine="640" w:firstLineChars="200"/>
        <w:rPr>
          <w:rFonts w:ascii="仿宋_GB2312" w:eastAsia="仿宋_GB2312"/>
          <w:color w:val="000000"/>
          <w:kern w:val="0"/>
          <w:sz w:val="32"/>
          <w:szCs w:val="32"/>
        </w:rPr>
      </w:pPr>
      <w:r>
        <w:rPr>
          <w:rFonts w:hint="eastAsia" w:ascii="仿宋_GB2312" w:eastAsia="仿宋_GB2312"/>
          <w:color w:val="000000"/>
          <w:kern w:val="0"/>
          <w:sz w:val="32"/>
          <w:szCs w:val="32"/>
        </w:rPr>
        <w:t>（2）编外人员控制率偏高，人管理有待加强。</w:t>
      </w:r>
      <w:r>
        <w:rPr>
          <w:rFonts w:ascii="仿宋_GB2312" w:eastAsia="仿宋_GB2312"/>
          <w:color w:val="000000"/>
          <w:kern w:val="0"/>
          <w:sz w:val="32"/>
          <w:szCs w:val="32"/>
        </w:rPr>
        <w:t>该问题主要涉及的扣分指标为“编外人员控制率”</w:t>
      </w:r>
      <w:r>
        <w:rPr>
          <w:rFonts w:hint="eastAsia" w:ascii="仿宋_GB2312" w:eastAsia="仿宋_GB2312"/>
          <w:color w:val="000000"/>
          <w:kern w:val="0"/>
          <w:sz w:val="32"/>
          <w:szCs w:val="32"/>
        </w:rPr>
        <w:t>，2021年度我局编外人员控制率达42.42%，高于区财政局绩效考核标准水平。需进一步加强人员管理，控制编外人员数量。</w:t>
      </w:r>
    </w:p>
    <w:p w14:paraId="2AB4F1A3">
      <w:pPr>
        <w:spacing w:line="560" w:lineRule="exact"/>
        <w:ind w:firstLine="640" w:firstLineChars="200"/>
        <w:rPr>
          <w:rFonts w:ascii="仿宋_GB2312" w:eastAsia="仿宋_GB2312"/>
          <w:color w:val="000000"/>
          <w:kern w:val="0"/>
          <w:sz w:val="32"/>
          <w:szCs w:val="32"/>
        </w:rPr>
      </w:pPr>
      <w:r>
        <w:rPr>
          <w:rFonts w:hint="eastAsia" w:ascii="仿宋_GB2312" w:eastAsia="仿宋_GB2312"/>
          <w:color w:val="000000"/>
          <w:kern w:val="0"/>
          <w:sz w:val="32"/>
          <w:szCs w:val="32"/>
        </w:rPr>
        <w:t>（3）预算执行率偏低。本单位使用财政局提供的《预算指标执行情况表》统计发现，第一季度预算执行率为</w:t>
      </w:r>
      <w:r>
        <w:rPr>
          <w:rFonts w:ascii="仿宋_GB2312" w:eastAsia="仿宋_GB2312"/>
          <w:color w:val="000000"/>
          <w:kern w:val="0"/>
          <w:sz w:val="32"/>
          <w:szCs w:val="32"/>
        </w:rPr>
        <w:t>15</w:t>
      </w:r>
      <w:r>
        <w:rPr>
          <w:rFonts w:hint="eastAsia" w:ascii="仿宋_GB2312" w:eastAsia="仿宋_GB2312"/>
          <w:color w:val="000000"/>
          <w:kern w:val="0"/>
          <w:sz w:val="32"/>
          <w:szCs w:val="32"/>
        </w:rPr>
        <w:t>.</w:t>
      </w:r>
      <w:r>
        <w:rPr>
          <w:rFonts w:ascii="仿宋_GB2312" w:eastAsia="仿宋_GB2312"/>
          <w:color w:val="000000"/>
          <w:kern w:val="0"/>
          <w:sz w:val="32"/>
          <w:szCs w:val="32"/>
        </w:rPr>
        <w:t>64</w:t>
      </w:r>
      <w:r>
        <w:rPr>
          <w:rFonts w:hint="eastAsia" w:ascii="仿宋_GB2312" w:eastAsia="仿宋_GB2312"/>
          <w:color w:val="000000"/>
          <w:kern w:val="0"/>
          <w:sz w:val="32"/>
          <w:szCs w:val="32"/>
        </w:rPr>
        <w:t>%（一季度总支出数/总指标*25%）、第二季度预算执行率为</w:t>
      </w:r>
      <w:r>
        <w:rPr>
          <w:rFonts w:ascii="仿宋_GB2312" w:eastAsia="仿宋_GB2312"/>
          <w:color w:val="000000"/>
          <w:kern w:val="0"/>
          <w:sz w:val="32"/>
          <w:szCs w:val="32"/>
        </w:rPr>
        <w:t>25.37</w:t>
      </w:r>
      <w:r>
        <w:rPr>
          <w:rFonts w:hint="eastAsia" w:ascii="仿宋_GB2312" w:eastAsia="仿宋_GB2312"/>
          <w:color w:val="000000"/>
          <w:kern w:val="0"/>
          <w:sz w:val="32"/>
          <w:szCs w:val="32"/>
        </w:rPr>
        <w:t>%（二季度总支出数/总指标*50%）。预算执行率偏低的主要原因是部分项目支出数据未体现在《预算指标执行情况表》的“支出数”字段。例如产业发展专项资金-科技创新分项项目，截止至2</w:t>
      </w:r>
      <w:r>
        <w:rPr>
          <w:rFonts w:ascii="仿宋_GB2312" w:eastAsia="仿宋_GB2312"/>
          <w:color w:val="000000"/>
          <w:kern w:val="0"/>
          <w:sz w:val="32"/>
          <w:szCs w:val="32"/>
        </w:rPr>
        <w:t>021</w:t>
      </w:r>
      <w:r>
        <w:rPr>
          <w:rFonts w:hint="eastAsia" w:ascii="仿宋_GB2312" w:eastAsia="仿宋_GB2312"/>
          <w:color w:val="000000"/>
          <w:kern w:val="0"/>
          <w:sz w:val="32"/>
          <w:szCs w:val="32"/>
        </w:rPr>
        <w:t>年1</w:t>
      </w:r>
      <w:r>
        <w:rPr>
          <w:rFonts w:ascii="仿宋_GB2312" w:eastAsia="仿宋_GB2312"/>
          <w:color w:val="000000"/>
          <w:kern w:val="0"/>
          <w:sz w:val="32"/>
          <w:szCs w:val="32"/>
        </w:rPr>
        <w:t>2</w:t>
      </w:r>
      <w:r>
        <w:rPr>
          <w:rFonts w:hint="eastAsia" w:ascii="仿宋_GB2312" w:eastAsia="仿宋_GB2312"/>
          <w:color w:val="000000"/>
          <w:kern w:val="0"/>
          <w:sz w:val="32"/>
          <w:szCs w:val="32"/>
        </w:rPr>
        <w:t>月2</w:t>
      </w:r>
      <w:r>
        <w:rPr>
          <w:rFonts w:ascii="仿宋_GB2312" w:eastAsia="仿宋_GB2312"/>
          <w:color w:val="000000"/>
          <w:kern w:val="0"/>
          <w:sz w:val="32"/>
          <w:szCs w:val="32"/>
        </w:rPr>
        <w:t>7</w:t>
      </w:r>
      <w:r>
        <w:rPr>
          <w:rFonts w:hint="eastAsia" w:ascii="仿宋_GB2312" w:eastAsia="仿宋_GB2312"/>
          <w:color w:val="000000"/>
          <w:kern w:val="0"/>
          <w:sz w:val="32"/>
          <w:szCs w:val="32"/>
        </w:rPr>
        <w:t>日完成的指标金额为</w:t>
      </w:r>
      <w:r>
        <w:rPr>
          <w:rFonts w:ascii="仿宋_GB2312" w:eastAsia="仿宋_GB2312"/>
          <w:color w:val="000000"/>
          <w:kern w:val="0"/>
          <w:sz w:val="32"/>
          <w:szCs w:val="32"/>
        </w:rPr>
        <w:t>34,799.99</w:t>
      </w:r>
      <w:r>
        <w:rPr>
          <w:rFonts w:hint="eastAsia" w:ascii="仿宋_GB2312" w:eastAsia="仿宋_GB2312"/>
          <w:color w:val="000000"/>
          <w:kern w:val="0"/>
          <w:sz w:val="32"/>
          <w:szCs w:val="32"/>
        </w:rPr>
        <w:t>万元，《预算指标执行</w:t>
      </w:r>
      <w:bookmarkStart w:id="0" w:name="_GoBack"/>
      <w:bookmarkEnd w:id="0"/>
      <w:r>
        <w:rPr>
          <w:rFonts w:hint="eastAsia" w:ascii="仿宋_GB2312" w:eastAsia="仿宋_GB2312"/>
          <w:color w:val="000000"/>
          <w:kern w:val="0"/>
          <w:sz w:val="32"/>
          <w:szCs w:val="32"/>
        </w:rPr>
        <w:t>情况表》显示该项目本年度的“支出数”为0</w:t>
      </w:r>
      <w:r>
        <w:rPr>
          <w:rFonts w:ascii="仿宋_GB2312" w:eastAsia="仿宋_GB2312"/>
          <w:color w:val="000000"/>
          <w:kern w:val="0"/>
          <w:sz w:val="32"/>
          <w:szCs w:val="32"/>
        </w:rPr>
        <w:t>.00</w:t>
      </w:r>
      <w:r>
        <w:rPr>
          <w:rFonts w:hint="eastAsia" w:ascii="仿宋_GB2312" w:eastAsia="仿宋_GB2312"/>
          <w:color w:val="000000"/>
          <w:kern w:val="0"/>
          <w:sz w:val="32"/>
          <w:szCs w:val="32"/>
        </w:rPr>
        <w:t>万元，与实际支出情况不一致。</w:t>
      </w:r>
    </w:p>
    <w:p w14:paraId="7AA6C849">
      <w:pPr>
        <w:pStyle w:val="2"/>
        <w:spacing w:line="560" w:lineRule="exact"/>
        <w:ind w:firstLine="640"/>
        <w:rPr>
          <w:rFonts w:ascii="仿宋_GB2312" w:eastAsia="仿宋_GB2312"/>
          <w:color w:val="000000"/>
          <w:kern w:val="0"/>
        </w:rPr>
      </w:pPr>
      <w:r>
        <w:rPr>
          <w:rFonts w:hint="eastAsia" w:ascii="仿宋_GB2312" w:eastAsia="仿宋_GB2312"/>
          <w:color w:val="000000"/>
          <w:kern w:val="0"/>
        </w:rPr>
        <w:t>（4）调整资金累计超过预算总规模的10%。2021年我局决算表中年初预算数为43,189.21万元，调整预算数为81,164.95万元，导致我局2021年调整资金累计超过预算总规模的10%的主要原因在于：根据《2020年1月8日区建设深港科技创新合作区领导小组工作会议纪要》，合作署项目经费等各项预算均由合作署自行向区财政局申报，再由区财政局将经费拨付到我局账户上，由我局负责实施代拨。该问题主要涉及“部门管理-资金管理-财务合规性”，根据部门整体支出绩效评价共性指标体系框架的相关标准，此项需扣1分。</w:t>
      </w:r>
    </w:p>
    <w:p w14:paraId="6B5EA30F">
      <w:pPr>
        <w:spacing w:line="560" w:lineRule="exact"/>
        <w:ind w:firstLine="640" w:firstLineChars="200"/>
        <w:rPr>
          <w:rFonts w:ascii="仿宋_GB2312" w:eastAsia="仿宋_GB2312"/>
          <w:color w:val="000000"/>
          <w:kern w:val="0"/>
          <w:sz w:val="32"/>
          <w:szCs w:val="32"/>
        </w:rPr>
      </w:pPr>
      <w:r>
        <w:rPr>
          <w:rFonts w:hint="eastAsia" w:ascii="仿宋_GB2312" w:eastAsia="仿宋_GB2312"/>
          <w:color w:val="000000"/>
          <w:kern w:val="0"/>
          <w:sz w:val="32"/>
          <w:szCs w:val="32"/>
        </w:rPr>
        <w:t>2、改进措施</w:t>
      </w:r>
    </w:p>
    <w:p w14:paraId="28A2711C">
      <w:pPr>
        <w:spacing w:line="560" w:lineRule="exact"/>
        <w:ind w:firstLine="640" w:firstLineChars="200"/>
        <w:rPr>
          <w:rFonts w:ascii="仿宋_GB2312" w:eastAsia="仿宋_GB2312"/>
          <w:color w:val="000000"/>
          <w:kern w:val="0"/>
          <w:sz w:val="32"/>
          <w:szCs w:val="32"/>
        </w:rPr>
      </w:pPr>
      <w:r>
        <w:rPr>
          <w:rFonts w:hint="eastAsia" w:ascii="仿宋_GB2312" w:eastAsia="仿宋_GB2312"/>
          <w:color w:val="000000"/>
          <w:kern w:val="0"/>
          <w:sz w:val="32"/>
          <w:szCs w:val="32"/>
        </w:rPr>
        <w:t>（1）</w:t>
      </w:r>
      <w:r>
        <w:rPr>
          <w:rFonts w:ascii="仿宋_GB2312" w:eastAsia="仿宋_GB2312"/>
          <w:color w:val="000000"/>
          <w:kern w:val="0"/>
          <w:sz w:val="32"/>
          <w:szCs w:val="32"/>
        </w:rPr>
        <w:t>建立健全项目绩效指标，提高绩效指标</w:t>
      </w:r>
      <w:r>
        <w:rPr>
          <w:rFonts w:hint="eastAsia" w:ascii="仿宋_GB2312" w:eastAsia="仿宋_GB2312"/>
          <w:color w:val="000000"/>
          <w:kern w:val="0"/>
          <w:sz w:val="32"/>
          <w:szCs w:val="32"/>
        </w:rPr>
        <w:t>完整</w:t>
      </w:r>
      <w:r>
        <w:rPr>
          <w:rFonts w:ascii="仿宋_GB2312" w:eastAsia="仿宋_GB2312"/>
          <w:color w:val="000000"/>
          <w:kern w:val="0"/>
          <w:sz w:val="32"/>
          <w:szCs w:val="32"/>
        </w:rPr>
        <w:t>性、</w:t>
      </w:r>
      <w:r>
        <w:rPr>
          <w:rFonts w:hint="eastAsia" w:ascii="仿宋_GB2312" w:eastAsia="仿宋_GB2312"/>
          <w:color w:val="000000"/>
          <w:kern w:val="0"/>
          <w:sz w:val="32"/>
          <w:szCs w:val="32"/>
        </w:rPr>
        <w:t>明确</w:t>
      </w:r>
      <w:r>
        <w:rPr>
          <w:rFonts w:ascii="仿宋_GB2312" w:eastAsia="仿宋_GB2312"/>
          <w:color w:val="000000"/>
          <w:kern w:val="0"/>
          <w:sz w:val="32"/>
          <w:szCs w:val="32"/>
        </w:rPr>
        <w:t>性。</w:t>
      </w:r>
    </w:p>
    <w:p w14:paraId="7AD9FFFB">
      <w:pPr>
        <w:spacing w:line="560" w:lineRule="exact"/>
        <w:ind w:firstLine="640" w:firstLineChars="200"/>
        <w:rPr>
          <w:rFonts w:ascii="仿宋_GB2312" w:eastAsia="仿宋_GB2312"/>
          <w:color w:val="000000"/>
          <w:kern w:val="0"/>
          <w:sz w:val="32"/>
          <w:szCs w:val="32"/>
        </w:rPr>
      </w:pPr>
      <w:r>
        <w:rPr>
          <w:rFonts w:hint="eastAsia" w:ascii="仿宋_GB2312" w:eastAsia="仿宋_GB2312"/>
          <w:color w:val="000000"/>
          <w:kern w:val="0"/>
          <w:sz w:val="32"/>
          <w:szCs w:val="32"/>
        </w:rPr>
        <w:t>我局</w:t>
      </w:r>
      <w:r>
        <w:rPr>
          <w:rFonts w:ascii="仿宋_GB2312" w:eastAsia="仿宋_GB2312"/>
          <w:color w:val="000000"/>
          <w:kern w:val="0"/>
          <w:sz w:val="32"/>
          <w:szCs w:val="32"/>
        </w:rPr>
        <w:t>将结合部门职能和工作目标,以及以往年度的目标编报经验,围绕本单位主要履职项目和重点项目，梳理各项目绩效目标，建立一个能充分、客观、科学反映</w:t>
      </w:r>
      <w:r>
        <w:rPr>
          <w:rFonts w:hint="eastAsia" w:ascii="仿宋_GB2312" w:eastAsia="仿宋_GB2312"/>
          <w:color w:val="000000"/>
          <w:kern w:val="0"/>
          <w:sz w:val="32"/>
          <w:szCs w:val="32"/>
        </w:rPr>
        <w:t>我局</w:t>
      </w:r>
      <w:r>
        <w:rPr>
          <w:rFonts w:ascii="仿宋_GB2312" w:eastAsia="仿宋_GB2312"/>
          <w:color w:val="000000"/>
          <w:kern w:val="0"/>
          <w:sz w:val="32"/>
          <w:szCs w:val="32"/>
        </w:rPr>
        <w:t>年度工作履职情况的绩效目标体系。</w:t>
      </w:r>
    </w:p>
    <w:p w14:paraId="183E44F6">
      <w:pPr>
        <w:adjustRightInd w:val="0"/>
        <w:snapToGrid w:val="0"/>
        <w:spacing w:line="560" w:lineRule="exact"/>
        <w:ind w:firstLine="640" w:firstLineChars="200"/>
        <w:rPr>
          <w:rFonts w:ascii="仿宋_GB2312" w:eastAsia="仿宋_GB2312"/>
          <w:color w:val="000000"/>
          <w:kern w:val="0"/>
          <w:sz w:val="32"/>
          <w:szCs w:val="32"/>
        </w:rPr>
      </w:pPr>
      <w:r>
        <w:rPr>
          <w:rFonts w:hint="eastAsia" w:ascii="仿宋_GB2312" w:eastAsia="仿宋_GB2312"/>
          <w:color w:val="000000"/>
          <w:kern w:val="0"/>
          <w:sz w:val="32"/>
          <w:szCs w:val="32"/>
        </w:rPr>
        <w:t>（2）规范编外人员用工，进行总量控制。</w:t>
      </w:r>
    </w:p>
    <w:p w14:paraId="27E83FC0">
      <w:pPr>
        <w:adjustRightInd w:val="0"/>
        <w:snapToGrid w:val="0"/>
        <w:spacing w:line="560" w:lineRule="exact"/>
        <w:ind w:firstLine="640" w:firstLineChars="200"/>
        <w:rPr>
          <w:rFonts w:ascii="仿宋_GB2312" w:eastAsia="仿宋_GB2312"/>
          <w:color w:val="000000"/>
          <w:kern w:val="0"/>
          <w:sz w:val="32"/>
          <w:szCs w:val="32"/>
        </w:rPr>
      </w:pPr>
      <w:r>
        <w:rPr>
          <w:rFonts w:hint="eastAsia" w:ascii="仿宋_GB2312" w:eastAsia="仿宋_GB2312"/>
          <w:color w:val="000000"/>
          <w:kern w:val="0"/>
          <w:sz w:val="32"/>
          <w:szCs w:val="32"/>
        </w:rPr>
        <w:t>加强人员管理，实行编外人员总量控制，严格按照区核定编外人员总数控制编外人员数量。因实际工作需使用编外人员的，应在区核定编外人员控制数内招录，并严格履行编外用工报批程序，不断规范编外人员用工。</w:t>
      </w:r>
    </w:p>
    <w:p w14:paraId="13E26CF0">
      <w:pPr>
        <w:adjustRightInd w:val="0"/>
        <w:snapToGrid w:val="0"/>
        <w:spacing w:line="560" w:lineRule="exact"/>
        <w:ind w:firstLine="640" w:firstLineChars="200"/>
        <w:rPr>
          <w:rFonts w:ascii="仿宋_GB2312" w:eastAsia="仿宋_GB2312"/>
          <w:color w:val="000000"/>
          <w:kern w:val="0"/>
          <w:sz w:val="32"/>
          <w:szCs w:val="32"/>
        </w:rPr>
      </w:pPr>
      <w:r>
        <w:rPr>
          <w:rFonts w:hint="eastAsia" w:ascii="仿宋_GB2312" w:eastAsia="仿宋_GB2312"/>
          <w:color w:val="000000"/>
          <w:kern w:val="0"/>
          <w:sz w:val="32"/>
          <w:szCs w:val="32"/>
        </w:rPr>
        <w:t>（3）积极与区财政局沟通，反映《预算指标执行情况表》数据统计的问题。</w:t>
      </w:r>
    </w:p>
    <w:p w14:paraId="7079F1E6">
      <w:pPr>
        <w:spacing w:line="560" w:lineRule="exact"/>
        <w:ind w:firstLine="640" w:firstLineChars="200"/>
        <w:rPr>
          <w:rFonts w:ascii="仿宋_GB2312" w:hAnsi="仿宋" w:eastAsia="仿宋_GB2312"/>
          <w:sz w:val="32"/>
          <w:szCs w:val="32"/>
        </w:rPr>
      </w:pPr>
      <w:r>
        <w:rPr>
          <w:rFonts w:hint="eastAsia" w:ascii="仿宋_GB2312" w:eastAsia="仿宋_GB2312"/>
          <w:color w:val="000000"/>
          <w:kern w:val="0"/>
          <w:sz w:val="32"/>
          <w:szCs w:val="32"/>
        </w:rPr>
        <w:t>协助信息系统工程师修复漏洞，确保实际支出数据能在《预算指标执行情况表》的 “支出数”字段准确统计。另一方面，</w:t>
      </w:r>
      <w:r>
        <w:rPr>
          <w:rFonts w:hint="eastAsia" w:ascii="仿宋_GB2312" w:hAnsi="仿宋" w:eastAsia="仿宋_GB2312"/>
          <w:sz w:val="32"/>
          <w:szCs w:val="32"/>
        </w:rPr>
        <w:t>加强预算执行工作，将有针对性地开展工作，尽可能均衡预算执行，将预算执行作为重要督办事项。</w:t>
      </w:r>
    </w:p>
    <w:p w14:paraId="11420609">
      <w:pPr>
        <w:pStyle w:val="2"/>
        <w:spacing w:line="560" w:lineRule="exact"/>
        <w:ind w:firstLine="640"/>
        <w:rPr>
          <w:rFonts w:ascii="仿宋_GB2312" w:hAnsi="仿宋" w:eastAsia="仿宋_GB2312"/>
        </w:rPr>
      </w:pPr>
      <w:r>
        <w:rPr>
          <w:rFonts w:hint="eastAsia" w:ascii="仿宋_GB2312" w:hAnsi="仿宋" w:eastAsia="仿宋_GB2312"/>
        </w:rPr>
        <w:t>（4）减少预算调整、调剂的发生，提高预算编制质量。</w:t>
      </w:r>
    </w:p>
    <w:p w14:paraId="2CEE35F4">
      <w:pPr>
        <w:pStyle w:val="2"/>
        <w:spacing w:line="560" w:lineRule="exact"/>
        <w:ind w:firstLine="640"/>
        <w:rPr>
          <w:rFonts w:ascii="楷体" w:hAnsi="楷体" w:eastAsia="楷体"/>
          <w:b/>
          <w:color w:val="000000"/>
        </w:rPr>
      </w:pPr>
      <w:r>
        <w:rPr>
          <w:rFonts w:hint="eastAsia" w:ascii="仿宋_GB2312" w:hAnsi="仿宋" w:eastAsia="仿宋_GB2312"/>
        </w:rPr>
        <w:t>一是加强预算资金的编制管理，实现细化预算,提高预算的科学性、准确性。二是确定合理的预算指标体系和开支标准，在编制预算时,要对预算经费的指标体系、项目用途、开支标准、开支范围等进行细化。三是改变过去严预算、松调整、调剂的分配观念,从根本上减少或杜绝预算调整、调剂的发生，从而提升预算编制的合理性。</w:t>
      </w:r>
    </w:p>
    <w:p w14:paraId="49988B56">
      <w:pPr>
        <w:adjustRightInd w:val="0"/>
        <w:snapToGrid w:val="0"/>
        <w:spacing w:line="560" w:lineRule="exact"/>
        <w:ind w:firstLine="643" w:firstLineChars="200"/>
        <w:rPr>
          <w:rFonts w:ascii="楷体" w:hAnsi="楷体" w:eastAsia="楷体"/>
          <w:b/>
          <w:color w:val="000000"/>
          <w:sz w:val="32"/>
          <w:szCs w:val="32"/>
        </w:rPr>
      </w:pPr>
      <w:r>
        <w:rPr>
          <w:rFonts w:hint="eastAsia" w:ascii="楷体" w:hAnsi="楷体" w:eastAsia="楷体"/>
          <w:b/>
          <w:color w:val="000000"/>
          <w:sz w:val="32"/>
          <w:szCs w:val="32"/>
        </w:rPr>
        <w:t>（三）后续工作计划、相关建议等。</w:t>
      </w:r>
    </w:p>
    <w:p w14:paraId="7C2636D5">
      <w:pPr>
        <w:spacing w:line="560" w:lineRule="exact"/>
        <w:ind w:firstLine="640" w:firstLineChars="200"/>
      </w:pPr>
      <w:r>
        <w:rPr>
          <w:rFonts w:hint="eastAsia" w:ascii="仿宋_GB2312" w:eastAsia="仿宋_GB2312"/>
          <w:color w:val="000000"/>
          <w:kern w:val="0"/>
          <w:sz w:val="32"/>
          <w:szCs w:val="32"/>
        </w:rPr>
        <w:t>强化预算绩效理念，全面普及绩效管理知识，提升绩效管理业务素质能力，将提高绩效管理水平作为下一阶段的工作重点，以促进绩效管理工作的常态化开展。</w:t>
      </w:r>
    </w:p>
    <w:p w14:paraId="61128C5A">
      <w:pPr>
        <w:spacing w:line="560" w:lineRule="exact"/>
        <w:ind w:firstLine="643" w:firstLineChars="200"/>
        <w:rPr>
          <w:rFonts w:ascii="黑体" w:hAnsi="黑体" w:eastAsia="黑体"/>
          <w:b/>
          <w:bCs/>
          <w:sz w:val="32"/>
          <w:szCs w:val="32"/>
        </w:rPr>
      </w:pPr>
      <w:r>
        <w:rPr>
          <w:rFonts w:hint="eastAsia" w:ascii="黑体" w:hAnsi="黑体" w:eastAsia="黑体"/>
          <w:b/>
          <w:bCs/>
          <w:sz w:val="32"/>
          <w:szCs w:val="32"/>
        </w:rPr>
        <w:t>四、部门整体支出绩效评价指标评分情况</w:t>
      </w:r>
    </w:p>
    <w:p w14:paraId="1F9F4605">
      <w:pPr>
        <w:adjustRightInd w:val="0"/>
        <w:snapToGrid w:val="0"/>
        <w:spacing w:line="560" w:lineRule="exact"/>
        <w:ind w:firstLine="640" w:firstLineChars="200"/>
        <w:rPr>
          <w:rFonts w:ascii="黑体" w:hAnsi="黑体" w:eastAsia="黑体"/>
          <w:sz w:val="32"/>
          <w:szCs w:val="32"/>
        </w:rPr>
      </w:pPr>
      <w:r>
        <w:rPr>
          <w:rFonts w:hint="eastAsia" w:ascii="仿宋_GB2312" w:eastAsia="仿宋_GB2312"/>
          <w:sz w:val="32"/>
          <w:szCs w:val="32"/>
        </w:rPr>
        <w:t>参照《</w:t>
      </w:r>
      <w:r>
        <w:rPr>
          <w:rFonts w:hint="eastAsia" w:ascii="仿宋_GB2312" w:hAnsi="仿宋_GB2312" w:eastAsia="仿宋_GB2312"/>
          <w:sz w:val="32"/>
          <w:lang w:val="zh-CN"/>
        </w:rPr>
        <w:t>福田区部门整体支出绩效评价共性指标体系框架</w:t>
      </w:r>
      <w:r>
        <w:rPr>
          <w:rFonts w:hint="eastAsia" w:ascii="仿宋_GB2312" w:eastAsia="仿宋_GB2312"/>
          <w:sz w:val="32"/>
          <w:szCs w:val="32"/>
        </w:rPr>
        <w:t>》进行自评，填报得分情况，我局202</w:t>
      </w:r>
      <w:r>
        <w:rPr>
          <w:rFonts w:ascii="仿宋_GB2312" w:eastAsia="仿宋_GB2312"/>
          <w:sz w:val="32"/>
          <w:szCs w:val="32"/>
        </w:rPr>
        <w:t>1</w:t>
      </w:r>
      <w:r>
        <w:rPr>
          <w:rFonts w:hint="eastAsia" w:ascii="仿宋_GB2312" w:eastAsia="仿宋_GB2312"/>
          <w:sz w:val="32"/>
          <w:szCs w:val="32"/>
        </w:rPr>
        <w:t>部门整体支出绩效自评总体得分为94.94分。具体评分情况详见附件1：202</w:t>
      </w:r>
      <w:r>
        <w:rPr>
          <w:rFonts w:ascii="仿宋_GB2312" w:eastAsia="仿宋_GB2312"/>
          <w:sz w:val="32"/>
          <w:szCs w:val="32"/>
        </w:rPr>
        <w:t>1</w:t>
      </w:r>
      <w:r>
        <w:rPr>
          <w:rFonts w:hint="eastAsia" w:ascii="仿宋_GB2312" w:eastAsia="仿宋_GB2312"/>
          <w:sz w:val="32"/>
          <w:szCs w:val="32"/>
        </w:rPr>
        <w:t>年度部门整体支出绩效评价指标体系评分表</w:t>
      </w:r>
    </w:p>
    <w:p w14:paraId="3C4DE1D1">
      <w:pPr>
        <w:spacing w:line="590" w:lineRule="exact"/>
        <w:ind w:firstLine="450" w:firstLineChars="250"/>
        <w:rPr>
          <w:sz w:val="18"/>
          <w:szCs w:val="18"/>
        </w:rPr>
      </w:pPr>
    </w:p>
    <w:p w14:paraId="12DCEB04">
      <w:pPr>
        <w:pStyle w:val="3"/>
        <w:rPr>
          <w:sz w:val="18"/>
          <w:szCs w:val="18"/>
        </w:rPr>
      </w:pPr>
    </w:p>
    <w:p w14:paraId="4030B4FF">
      <w:pPr>
        <w:rPr>
          <w:sz w:val="18"/>
          <w:szCs w:val="18"/>
        </w:rPr>
      </w:pPr>
    </w:p>
    <w:p w14:paraId="279C6B7C">
      <w:pPr>
        <w:pStyle w:val="3"/>
        <w:rPr>
          <w:sz w:val="18"/>
          <w:szCs w:val="18"/>
        </w:rPr>
      </w:pPr>
    </w:p>
    <w:p w14:paraId="36D44D83">
      <w:pPr>
        <w:rPr>
          <w:sz w:val="18"/>
          <w:szCs w:val="18"/>
        </w:rPr>
      </w:pPr>
    </w:p>
    <w:p w14:paraId="09AE6FC9">
      <w:pPr>
        <w:pStyle w:val="3"/>
        <w:rPr>
          <w:sz w:val="18"/>
          <w:szCs w:val="18"/>
        </w:rPr>
        <w:sectPr>
          <w:pgSz w:w="11907" w:h="16839"/>
          <w:pgMar w:top="1440" w:right="851" w:bottom="1440" w:left="1134" w:header="851" w:footer="992" w:gutter="0"/>
          <w:cols w:space="425" w:num="1"/>
          <w:docGrid w:type="lines" w:linePitch="312" w:charSpace="0"/>
        </w:sectPr>
      </w:pPr>
    </w:p>
    <w:p w14:paraId="040339A8">
      <w:pPr>
        <w:spacing w:line="320" w:lineRule="exact"/>
        <w:jc w:val="center"/>
        <w:rPr>
          <w:rFonts w:ascii="仿宋_GB2312" w:eastAsia="仿宋_GB2312" w:cs="仿宋_GB2312"/>
          <w:sz w:val="32"/>
          <w:szCs w:val="32"/>
        </w:rPr>
      </w:pPr>
      <w:r>
        <w:rPr>
          <w:rFonts w:hint="eastAsia" w:ascii="仿宋_GB2312" w:eastAsia="仿宋_GB2312" w:cs="仿宋_GB2312"/>
          <w:sz w:val="32"/>
          <w:szCs w:val="32"/>
        </w:rPr>
        <w:t>部门整体支出绩效评价共性指标体系框架</w:t>
      </w:r>
    </w:p>
    <w:tbl>
      <w:tblPr>
        <w:tblStyle w:val="9"/>
        <w:tblW w:w="14248" w:type="dxa"/>
        <w:tblInd w:w="-106" w:type="dxa"/>
        <w:tblLayout w:type="fixed"/>
        <w:tblCellMar>
          <w:top w:w="0" w:type="dxa"/>
          <w:left w:w="108" w:type="dxa"/>
          <w:bottom w:w="0" w:type="dxa"/>
          <w:right w:w="108" w:type="dxa"/>
        </w:tblCellMar>
      </w:tblPr>
      <w:tblGrid>
        <w:gridCol w:w="577"/>
        <w:gridCol w:w="508"/>
        <w:gridCol w:w="547"/>
        <w:gridCol w:w="571"/>
        <w:gridCol w:w="705"/>
        <w:gridCol w:w="567"/>
        <w:gridCol w:w="2551"/>
        <w:gridCol w:w="7371"/>
        <w:gridCol w:w="851"/>
      </w:tblGrid>
      <w:tr w14:paraId="32953D6A">
        <w:tblPrEx>
          <w:tblCellMar>
            <w:top w:w="0" w:type="dxa"/>
            <w:left w:w="108" w:type="dxa"/>
            <w:bottom w:w="0" w:type="dxa"/>
            <w:right w:w="108" w:type="dxa"/>
          </w:tblCellMar>
        </w:tblPrEx>
        <w:trPr>
          <w:trHeight w:val="180" w:hRule="atLeast"/>
          <w:tblHeader/>
        </w:trPr>
        <w:tc>
          <w:tcPr>
            <w:tcW w:w="3475" w:type="dxa"/>
            <w:gridSpan w:val="6"/>
            <w:tcBorders>
              <w:top w:val="single" w:color="auto" w:sz="4" w:space="0"/>
              <w:left w:val="single" w:color="auto" w:sz="4" w:space="0"/>
              <w:bottom w:val="single" w:color="auto" w:sz="4" w:space="0"/>
              <w:right w:val="single" w:color="auto" w:sz="4" w:space="0"/>
            </w:tcBorders>
            <w:vAlign w:val="center"/>
          </w:tcPr>
          <w:p w14:paraId="0AC78806">
            <w:pPr>
              <w:spacing w:line="320" w:lineRule="exact"/>
              <w:jc w:val="center"/>
              <w:rPr>
                <w:rFonts w:ascii="黑体" w:hAnsi="黑体" w:eastAsia="黑体"/>
                <w:kern w:val="0"/>
              </w:rPr>
            </w:pPr>
            <w:r>
              <w:rPr>
                <w:rFonts w:hint="eastAsia" w:ascii="黑体" w:hAnsi="黑体" w:eastAsia="黑体" w:cs="黑体"/>
                <w:kern w:val="0"/>
              </w:rPr>
              <w:t>评价指标</w:t>
            </w:r>
          </w:p>
        </w:tc>
        <w:tc>
          <w:tcPr>
            <w:tcW w:w="2551" w:type="dxa"/>
            <w:vMerge w:val="restart"/>
            <w:tcBorders>
              <w:top w:val="single" w:color="auto" w:sz="4" w:space="0"/>
              <w:left w:val="nil"/>
              <w:right w:val="single" w:color="auto" w:sz="4" w:space="0"/>
            </w:tcBorders>
            <w:vAlign w:val="center"/>
          </w:tcPr>
          <w:p w14:paraId="23BA052E">
            <w:pPr>
              <w:spacing w:line="320" w:lineRule="exact"/>
              <w:jc w:val="center"/>
              <w:rPr>
                <w:rFonts w:ascii="黑体" w:hAnsi="黑体" w:eastAsia="黑体"/>
                <w:kern w:val="0"/>
              </w:rPr>
            </w:pPr>
            <w:r>
              <w:rPr>
                <w:rFonts w:hint="eastAsia" w:ascii="黑体" w:hAnsi="黑体" w:eastAsia="黑体" w:cs="黑体"/>
                <w:kern w:val="0"/>
              </w:rPr>
              <w:t>指标说明</w:t>
            </w:r>
          </w:p>
        </w:tc>
        <w:tc>
          <w:tcPr>
            <w:tcW w:w="7371" w:type="dxa"/>
            <w:vMerge w:val="restart"/>
            <w:tcBorders>
              <w:top w:val="single" w:color="auto" w:sz="4" w:space="0"/>
              <w:left w:val="nil"/>
              <w:right w:val="single" w:color="auto" w:sz="4" w:space="0"/>
            </w:tcBorders>
            <w:vAlign w:val="center"/>
          </w:tcPr>
          <w:p w14:paraId="326575A0">
            <w:pPr>
              <w:spacing w:line="320" w:lineRule="exact"/>
              <w:jc w:val="center"/>
              <w:rPr>
                <w:rFonts w:ascii="黑体" w:hAnsi="黑体" w:eastAsia="黑体"/>
                <w:kern w:val="0"/>
              </w:rPr>
            </w:pPr>
            <w:r>
              <w:rPr>
                <w:rFonts w:hint="eastAsia" w:ascii="黑体" w:hAnsi="黑体" w:eastAsia="黑体" w:cs="黑体"/>
                <w:kern w:val="0"/>
              </w:rPr>
              <w:t>参考评分标准</w:t>
            </w:r>
          </w:p>
        </w:tc>
        <w:tc>
          <w:tcPr>
            <w:tcW w:w="851" w:type="dxa"/>
            <w:vMerge w:val="restart"/>
            <w:tcBorders>
              <w:top w:val="single" w:color="auto" w:sz="4" w:space="0"/>
              <w:left w:val="nil"/>
              <w:right w:val="single" w:color="auto" w:sz="4" w:space="0"/>
            </w:tcBorders>
            <w:vAlign w:val="center"/>
          </w:tcPr>
          <w:p w14:paraId="795E52A3">
            <w:pPr>
              <w:spacing w:line="320" w:lineRule="exact"/>
              <w:jc w:val="center"/>
              <w:rPr>
                <w:rFonts w:ascii="黑体" w:hAnsi="黑体" w:eastAsia="黑体" w:cs="黑体"/>
                <w:kern w:val="0"/>
              </w:rPr>
            </w:pPr>
            <w:r>
              <w:rPr>
                <w:rFonts w:hint="eastAsia" w:ascii="黑体" w:hAnsi="黑体" w:eastAsia="黑体" w:cs="黑体"/>
                <w:kern w:val="0"/>
              </w:rPr>
              <w:t>得分</w:t>
            </w:r>
          </w:p>
        </w:tc>
      </w:tr>
      <w:tr w14:paraId="54C2882F">
        <w:tblPrEx>
          <w:tblCellMar>
            <w:top w:w="0" w:type="dxa"/>
            <w:left w:w="108" w:type="dxa"/>
            <w:bottom w:w="0" w:type="dxa"/>
            <w:right w:w="108" w:type="dxa"/>
          </w:tblCellMar>
        </w:tblPrEx>
        <w:trPr>
          <w:trHeight w:val="463" w:hRule="atLeast"/>
          <w:tblHeader/>
        </w:trPr>
        <w:tc>
          <w:tcPr>
            <w:tcW w:w="1085" w:type="dxa"/>
            <w:gridSpan w:val="2"/>
            <w:tcBorders>
              <w:top w:val="nil"/>
              <w:left w:val="single" w:color="auto" w:sz="4" w:space="0"/>
              <w:bottom w:val="single" w:color="auto" w:sz="4" w:space="0"/>
              <w:right w:val="single" w:color="auto" w:sz="4" w:space="0"/>
            </w:tcBorders>
            <w:vAlign w:val="center"/>
          </w:tcPr>
          <w:p w14:paraId="2261CB46">
            <w:pPr>
              <w:spacing w:line="320" w:lineRule="exact"/>
              <w:jc w:val="center"/>
              <w:rPr>
                <w:rFonts w:ascii="黑体" w:hAnsi="黑体" w:eastAsia="黑体"/>
                <w:kern w:val="0"/>
              </w:rPr>
            </w:pPr>
            <w:r>
              <w:rPr>
                <w:rFonts w:hint="eastAsia" w:ascii="黑体" w:hAnsi="黑体" w:eastAsia="黑体" w:cs="黑体"/>
                <w:kern w:val="0"/>
              </w:rPr>
              <w:t>一级指标</w:t>
            </w:r>
          </w:p>
        </w:tc>
        <w:tc>
          <w:tcPr>
            <w:tcW w:w="1118" w:type="dxa"/>
            <w:gridSpan w:val="2"/>
            <w:tcBorders>
              <w:top w:val="nil"/>
              <w:left w:val="nil"/>
              <w:bottom w:val="single" w:color="auto" w:sz="4" w:space="0"/>
              <w:right w:val="single" w:color="auto" w:sz="4" w:space="0"/>
            </w:tcBorders>
            <w:vAlign w:val="center"/>
          </w:tcPr>
          <w:p w14:paraId="1CC00603">
            <w:pPr>
              <w:spacing w:line="320" w:lineRule="exact"/>
              <w:jc w:val="center"/>
              <w:rPr>
                <w:rFonts w:ascii="黑体" w:hAnsi="黑体" w:eastAsia="黑体"/>
                <w:kern w:val="0"/>
              </w:rPr>
            </w:pPr>
            <w:r>
              <w:rPr>
                <w:rFonts w:hint="eastAsia" w:ascii="黑体" w:hAnsi="黑体" w:eastAsia="黑体" w:cs="黑体"/>
                <w:kern w:val="0"/>
              </w:rPr>
              <w:t>二级指标</w:t>
            </w:r>
          </w:p>
        </w:tc>
        <w:tc>
          <w:tcPr>
            <w:tcW w:w="1272" w:type="dxa"/>
            <w:gridSpan w:val="2"/>
            <w:tcBorders>
              <w:top w:val="nil"/>
              <w:left w:val="nil"/>
              <w:bottom w:val="single" w:color="auto" w:sz="4" w:space="0"/>
              <w:right w:val="single" w:color="auto" w:sz="4" w:space="0"/>
            </w:tcBorders>
            <w:vAlign w:val="center"/>
          </w:tcPr>
          <w:p w14:paraId="0DB362CE">
            <w:pPr>
              <w:spacing w:line="320" w:lineRule="exact"/>
              <w:jc w:val="center"/>
              <w:rPr>
                <w:rFonts w:ascii="黑体" w:hAnsi="黑体" w:eastAsia="黑体"/>
                <w:kern w:val="0"/>
              </w:rPr>
            </w:pPr>
            <w:r>
              <w:rPr>
                <w:rFonts w:hint="eastAsia" w:ascii="黑体" w:hAnsi="黑体" w:eastAsia="黑体" w:cs="黑体"/>
                <w:kern w:val="0"/>
              </w:rPr>
              <w:t>三级指标</w:t>
            </w:r>
          </w:p>
        </w:tc>
        <w:tc>
          <w:tcPr>
            <w:tcW w:w="2551" w:type="dxa"/>
            <w:vMerge w:val="continue"/>
            <w:tcBorders>
              <w:left w:val="nil"/>
              <w:right w:val="single" w:color="auto" w:sz="4" w:space="0"/>
            </w:tcBorders>
            <w:vAlign w:val="center"/>
          </w:tcPr>
          <w:p w14:paraId="35E237C7">
            <w:pPr>
              <w:spacing w:line="320" w:lineRule="exact"/>
              <w:jc w:val="center"/>
              <w:rPr>
                <w:rFonts w:ascii="黑体" w:hAnsi="黑体" w:eastAsia="黑体"/>
                <w:kern w:val="0"/>
                <w:sz w:val="15"/>
                <w:szCs w:val="15"/>
              </w:rPr>
            </w:pPr>
          </w:p>
        </w:tc>
        <w:tc>
          <w:tcPr>
            <w:tcW w:w="7371" w:type="dxa"/>
            <w:vMerge w:val="continue"/>
            <w:tcBorders>
              <w:left w:val="nil"/>
              <w:right w:val="single" w:color="auto" w:sz="4" w:space="0"/>
            </w:tcBorders>
            <w:vAlign w:val="center"/>
          </w:tcPr>
          <w:p w14:paraId="428296F3">
            <w:pPr>
              <w:spacing w:line="320" w:lineRule="exact"/>
              <w:jc w:val="center"/>
              <w:rPr>
                <w:rFonts w:ascii="黑体" w:hAnsi="黑体" w:eastAsia="黑体"/>
                <w:kern w:val="0"/>
                <w:sz w:val="15"/>
                <w:szCs w:val="15"/>
              </w:rPr>
            </w:pPr>
          </w:p>
        </w:tc>
        <w:tc>
          <w:tcPr>
            <w:tcW w:w="851" w:type="dxa"/>
            <w:vMerge w:val="continue"/>
            <w:tcBorders>
              <w:left w:val="nil"/>
              <w:right w:val="single" w:color="auto" w:sz="4" w:space="0"/>
            </w:tcBorders>
            <w:vAlign w:val="center"/>
          </w:tcPr>
          <w:p w14:paraId="26E5B0F6">
            <w:pPr>
              <w:spacing w:line="320" w:lineRule="exact"/>
              <w:jc w:val="center"/>
              <w:rPr>
                <w:rFonts w:ascii="黑体" w:hAnsi="黑体" w:eastAsia="黑体"/>
                <w:kern w:val="0"/>
                <w:sz w:val="15"/>
                <w:szCs w:val="15"/>
              </w:rPr>
            </w:pPr>
          </w:p>
        </w:tc>
      </w:tr>
      <w:tr w14:paraId="2A9F3E09">
        <w:tblPrEx>
          <w:tblCellMar>
            <w:top w:w="0" w:type="dxa"/>
            <w:left w:w="108" w:type="dxa"/>
            <w:bottom w:w="0" w:type="dxa"/>
            <w:right w:w="108" w:type="dxa"/>
          </w:tblCellMar>
        </w:tblPrEx>
        <w:trPr>
          <w:trHeight w:val="180" w:hRule="atLeast"/>
          <w:tblHeader/>
        </w:trPr>
        <w:tc>
          <w:tcPr>
            <w:tcW w:w="577" w:type="dxa"/>
            <w:tcBorders>
              <w:top w:val="nil"/>
              <w:left w:val="single" w:color="auto" w:sz="4" w:space="0"/>
              <w:bottom w:val="single" w:color="auto" w:sz="4" w:space="0"/>
              <w:right w:val="single" w:color="auto" w:sz="4" w:space="0"/>
            </w:tcBorders>
            <w:vAlign w:val="center"/>
          </w:tcPr>
          <w:p w14:paraId="45EF6377">
            <w:pPr>
              <w:spacing w:line="320" w:lineRule="exact"/>
              <w:jc w:val="center"/>
              <w:rPr>
                <w:rFonts w:ascii="黑体" w:hAnsi="黑体" w:eastAsia="黑体"/>
                <w:kern w:val="0"/>
              </w:rPr>
            </w:pPr>
            <w:r>
              <w:rPr>
                <w:rFonts w:hint="eastAsia" w:ascii="黑体" w:hAnsi="黑体" w:eastAsia="黑体" w:cs="黑体"/>
                <w:kern w:val="0"/>
              </w:rPr>
              <w:t>名称</w:t>
            </w:r>
          </w:p>
        </w:tc>
        <w:tc>
          <w:tcPr>
            <w:tcW w:w="508" w:type="dxa"/>
            <w:tcBorders>
              <w:top w:val="nil"/>
              <w:left w:val="nil"/>
              <w:bottom w:val="single" w:color="auto" w:sz="4" w:space="0"/>
              <w:right w:val="single" w:color="auto" w:sz="4" w:space="0"/>
            </w:tcBorders>
            <w:vAlign w:val="center"/>
          </w:tcPr>
          <w:p w14:paraId="0BC7B7C2">
            <w:pPr>
              <w:spacing w:line="320" w:lineRule="exact"/>
              <w:jc w:val="center"/>
              <w:rPr>
                <w:rFonts w:ascii="黑体" w:hAnsi="黑体" w:eastAsia="黑体"/>
                <w:kern w:val="0"/>
              </w:rPr>
            </w:pPr>
            <w:r>
              <w:rPr>
                <w:rFonts w:hint="eastAsia" w:ascii="黑体" w:hAnsi="黑体" w:eastAsia="黑体" w:cs="黑体"/>
                <w:kern w:val="0"/>
              </w:rPr>
              <w:t>参考分值</w:t>
            </w:r>
          </w:p>
        </w:tc>
        <w:tc>
          <w:tcPr>
            <w:tcW w:w="547" w:type="dxa"/>
            <w:tcBorders>
              <w:top w:val="nil"/>
              <w:left w:val="nil"/>
              <w:bottom w:val="single" w:color="auto" w:sz="4" w:space="0"/>
              <w:right w:val="single" w:color="auto" w:sz="4" w:space="0"/>
            </w:tcBorders>
            <w:vAlign w:val="center"/>
          </w:tcPr>
          <w:p w14:paraId="07E133B2">
            <w:pPr>
              <w:spacing w:line="320" w:lineRule="exact"/>
              <w:jc w:val="center"/>
              <w:rPr>
                <w:rFonts w:ascii="黑体" w:hAnsi="黑体" w:eastAsia="黑体"/>
                <w:kern w:val="0"/>
              </w:rPr>
            </w:pPr>
            <w:r>
              <w:rPr>
                <w:rFonts w:hint="eastAsia" w:ascii="黑体" w:hAnsi="黑体" w:eastAsia="黑体" w:cs="黑体"/>
                <w:kern w:val="0"/>
              </w:rPr>
              <w:t>名称</w:t>
            </w:r>
          </w:p>
        </w:tc>
        <w:tc>
          <w:tcPr>
            <w:tcW w:w="571" w:type="dxa"/>
            <w:tcBorders>
              <w:top w:val="nil"/>
              <w:left w:val="nil"/>
              <w:bottom w:val="single" w:color="auto" w:sz="4" w:space="0"/>
              <w:right w:val="single" w:color="auto" w:sz="4" w:space="0"/>
            </w:tcBorders>
            <w:vAlign w:val="center"/>
          </w:tcPr>
          <w:p w14:paraId="6588D934">
            <w:pPr>
              <w:spacing w:line="320" w:lineRule="exact"/>
              <w:jc w:val="center"/>
              <w:rPr>
                <w:rFonts w:ascii="黑体" w:hAnsi="黑体" w:eastAsia="黑体"/>
                <w:kern w:val="0"/>
              </w:rPr>
            </w:pPr>
            <w:r>
              <w:rPr>
                <w:rFonts w:hint="eastAsia" w:ascii="黑体" w:hAnsi="黑体" w:eastAsia="黑体" w:cs="黑体"/>
                <w:kern w:val="0"/>
              </w:rPr>
              <w:t>参考分值</w:t>
            </w:r>
          </w:p>
        </w:tc>
        <w:tc>
          <w:tcPr>
            <w:tcW w:w="705" w:type="dxa"/>
            <w:tcBorders>
              <w:top w:val="nil"/>
              <w:left w:val="nil"/>
              <w:bottom w:val="single" w:color="auto" w:sz="4" w:space="0"/>
              <w:right w:val="single" w:color="auto" w:sz="4" w:space="0"/>
            </w:tcBorders>
            <w:vAlign w:val="center"/>
          </w:tcPr>
          <w:p w14:paraId="4E0179CE">
            <w:pPr>
              <w:spacing w:line="320" w:lineRule="exact"/>
              <w:jc w:val="center"/>
              <w:rPr>
                <w:rFonts w:ascii="黑体" w:hAnsi="黑体" w:eastAsia="黑体"/>
                <w:kern w:val="0"/>
              </w:rPr>
            </w:pPr>
            <w:r>
              <w:rPr>
                <w:rFonts w:hint="eastAsia" w:ascii="黑体" w:hAnsi="黑体" w:eastAsia="黑体" w:cs="黑体"/>
                <w:kern w:val="0"/>
              </w:rPr>
              <w:t>名称</w:t>
            </w:r>
          </w:p>
        </w:tc>
        <w:tc>
          <w:tcPr>
            <w:tcW w:w="567" w:type="dxa"/>
            <w:tcBorders>
              <w:top w:val="nil"/>
              <w:left w:val="nil"/>
              <w:bottom w:val="single" w:color="auto" w:sz="4" w:space="0"/>
              <w:right w:val="single" w:color="auto" w:sz="4" w:space="0"/>
            </w:tcBorders>
            <w:vAlign w:val="center"/>
          </w:tcPr>
          <w:p w14:paraId="29AAAC7A">
            <w:pPr>
              <w:spacing w:line="320" w:lineRule="exact"/>
              <w:jc w:val="center"/>
              <w:rPr>
                <w:rFonts w:ascii="黑体" w:hAnsi="黑体" w:eastAsia="黑体"/>
                <w:kern w:val="0"/>
              </w:rPr>
            </w:pPr>
            <w:r>
              <w:rPr>
                <w:rFonts w:hint="eastAsia" w:ascii="黑体" w:hAnsi="黑体" w:eastAsia="黑体" w:cs="黑体"/>
                <w:kern w:val="0"/>
              </w:rPr>
              <w:t>参考分值</w:t>
            </w:r>
          </w:p>
        </w:tc>
        <w:tc>
          <w:tcPr>
            <w:tcW w:w="2551" w:type="dxa"/>
            <w:vMerge w:val="continue"/>
            <w:tcBorders>
              <w:left w:val="nil"/>
              <w:bottom w:val="single" w:color="auto" w:sz="4" w:space="0"/>
              <w:right w:val="single" w:color="auto" w:sz="4" w:space="0"/>
            </w:tcBorders>
            <w:vAlign w:val="center"/>
          </w:tcPr>
          <w:p w14:paraId="13A79997">
            <w:pPr>
              <w:spacing w:line="320" w:lineRule="exact"/>
              <w:jc w:val="center"/>
              <w:rPr>
                <w:rFonts w:ascii="黑体" w:hAnsi="黑体" w:eastAsia="黑体"/>
                <w:kern w:val="0"/>
                <w:sz w:val="15"/>
                <w:szCs w:val="15"/>
              </w:rPr>
            </w:pPr>
          </w:p>
        </w:tc>
        <w:tc>
          <w:tcPr>
            <w:tcW w:w="7371" w:type="dxa"/>
            <w:vMerge w:val="continue"/>
            <w:tcBorders>
              <w:left w:val="nil"/>
              <w:bottom w:val="single" w:color="auto" w:sz="4" w:space="0"/>
              <w:right w:val="single" w:color="auto" w:sz="4" w:space="0"/>
            </w:tcBorders>
            <w:vAlign w:val="center"/>
          </w:tcPr>
          <w:p w14:paraId="1FBC0475">
            <w:pPr>
              <w:spacing w:line="320" w:lineRule="exact"/>
              <w:jc w:val="center"/>
              <w:rPr>
                <w:rFonts w:ascii="黑体" w:hAnsi="黑体" w:eastAsia="黑体"/>
                <w:kern w:val="0"/>
                <w:sz w:val="15"/>
                <w:szCs w:val="15"/>
              </w:rPr>
            </w:pPr>
          </w:p>
        </w:tc>
        <w:tc>
          <w:tcPr>
            <w:tcW w:w="851" w:type="dxa"/>
            <w:vMerge w:val="continue"/>
            <w:tcBorders>
              <w:left w:val="nil"/>
              <w:bottom w:val="single" w:color="auto" w:sz="4" w:space="0"/>
              <w:right w:val="single" w:color="auto" w:sz="4" w:space="0"/>
            </w:tcBorders>
            <w:vAlign w:val="center"/>
          </w:tcPr>
          <w:p w14:paraId="0B03C4BD">
            <w:pPr>
              <w:spacing w:line="320" w:lineRule="exact"/>
              <w:jc w:val="center"/>
              <w:rPr>
                <w:rFonts w:ascii="黑体" w:hAnsi="黑体" w:eastAsia="黑体"/>
                <w:kern w:val="0"/>
                <w:sz w:val="15"/>
                <w:szCs w:val="15"/>
              </w:rPr>
            </w:pPr>
          </w:p>
        </w:tc>
      </w:tr>
      <w:tr w14:paraId="691116D0">
        <w:tblPrEx>
          <w:tblCellMar>
            <w:top w:w="0" w:type="dxa"/>
            <w:left w:w="108" w:type="dxa"/>
            <w:bottom w:w="0" w:type="dxa"/>
            <w:right w:w="108" w:type="dxa"/>
          </w:tblCellMar>
        </w:tblPrEx>
        <w:trPr>
          <w:trHeight w:val="2643" w:hRule="atLeast"/>
        </w:trPr>
        <w:tc>
          <w:tcPr>
            <w:tcW w:w="577" w:type="dxa"/>
            <w:vMerge w:val="restart"/>
            <w:tcBorders>
              <w:top w:val="nil"/>
              <w:left w:val="single" w:color="auto" w:sz="4" w:space="0"/>
              <w:bottom w:val="single" w:color="auto" w:sz="4" w:space="0"/>
              <w:right w:val="single" w:color="auto" w:sz="4" w:space="0"/>
            </w:tcBorders>
            <w:vAlign w:val="center"/>
          </w:tcPr>
          <w:p w14:paraId="3A1B9BAA">
            <w:pPr>
              <w:spacing w:line="320" w:lineRule="exact"/>
              <w:rPr>
                <w:rFonts w:ascii="宋体"/>
                <w:kern w:val="0"/>
              </w:rPr>
            </w:pPr>
            <w:r>
              <w:rPr>
                <w:rFonts w:hint="eastAsia" w:ascii="宋体" w:hAnsi="宋体" w:cs="宋体"/>
                <w:kern w:val="0"/>
              </w:rPr>
              <w:t>部门决策</w:t>
            </w:r>
          </w:p>
        </w:tc>
        <w:tc>
          <w:tcPr>
            <w:tcW w:w="508" w:type="dxa"/>
            <w:vMerge w:val="restart"/>
            <w:tcBorders>
              <w:top w:val="nil"/>
              <w:left w:val="single" w:color="auto" w:sz="4" w:space="0"/>
              <w:bottom w:val="single" w:color="auto" w:sz="4" w:space="0"/>
              <w:right w:val="single" w:color="auto" w:sz="4" w:space="0"/>
            </w:tcBorders>
            <w:vAlign w:val="center"/>
          </w:tcPr>
          <w:p w14:paraId="502F8BAB">
            <w:pPr>
              <w:spacing w:line="320" w:lineRule="exact"/>
              <w:rPr>
                <w:rFonts w:ascii="宋体"/>
                <w:kern w:val="0"/>
              </w:rPr>
            </w:pPr>
            <w:r>
              <w:rPr>
                <w:rFonts w:ascii="宋体" w:hAnsi="宋体" w:cs="宋体"/>
                <w:kern w:val="0"/>
              </w:rPr>
              <w:t>20</w:t>
            </w:r>
          </w:p>
        </w:tc>
        <w:tc>
          <w:tcPr>
            <w:tcW w:w="547" w:type="dxa"/>
            <w:vMerge w:val="restart"/>
            <w:tcBorders>
              <w:top w:val="nil"/>
              <w:left w:val="single" w:color="auto" w:sz="4" w:space="0"/>
              <w:bottom w:val="single" w:color="auto" w:sz="4" w:space="0"/>
              <w:right w:val="single" w:color="auto" w:sz="4" w:space="0"/>
            </w:tcBorders>
            <w:vAlign w:val="center"/>
          </w:tcPr>
          <w:p w14:paraId="4B0E00D4">
            <w:pPr>
              <w:spacing w:line="320" w:lineRule="exact"/>
              <w:rPr>
                <w:rFonts w:ascii="宋体"/>
                <w:kern w:val="0"/>
              </w:rPr>
            </w:pPr>
            <w:r>
              <w:rPr>
                <w:rFonts w:hint="eastAsia" w:ascii="宋体" w:hAnsi="宋体" w:cs="宋体"/>
                <w:kern w:val="0"/>
              </w:rPr>
              <w:t>预算编制</w:t>
            </w:r>
          </w:p>
        </w:tc>
        <w:tc>
          <w:tcPr>
            <w:tcW w:w="571" w:type="dxa"/>
            <w:vMerge w:val="restart"/>
            <w:tcBorders>
              <w:top w:val="nil"/>
              <w:left w:val="single" w:color="auto" w:sz="4" w:space="0"/>
              <w:bottom w:val="single" w:color="auto" w:sz="4" w:space="0"/>
              <w:right w:val="single" w:color="auto" w:sz="4" w:space="0"/>
            </w:tcBorders>
            <w:vAlign w:val="center"/>
          </w:tcPr>
          <w:p w14:paraId="73429975">
            <w:pPr>
              <w:spacing w:line="300" w:lineRule="exact"/>
              <w:jc w:val="center"/>
              <w:rPr>
                <w:rFonts w:ascii="宋体"/>
                <w:kern w:val="0"/>
              </w:rPr>
            </w:pPr>
            <w:r>
              <w:rPr>
                <w:rFonts w:ascii="宋体" w:hAnsi="宋体" w:cs="宋体"/>
                <w:kern w:val="0"/>
              </w:rPr>
              <w:t>10</w:t>
            </w:r>
          </w:p>
        </w:tc>
        <w:tc>
          <w:tcPr>
            <w:tcW w:w="705" w:type="dxa"/>
            <w:tcBorders>
              <w:top w:val="nil"/>
              <w:left w:val="nil"/>
              <w:bottom w:val="single" w:color="auto" w:sz="4" w:space="0"/>
              <w:right w:val="single" w:color="auto" w:sz="4" w:space="0"/>
            </w:tcBorders>
            <w:vAlign w:val="center"/>
          </w:tcPr>
          <w:p w14:paraId="5D06128A">
            <w:pPr>
              <w:spacing w:line="300" w:lineRule="exact"/>
              <w:rPr>
                <w:rFonts w:ascii="宋体"/>
                <w:kern w:val="0"/>
              </w:rPr>
            </w:pPr>
            <w:r>
              <w:rPr>
                <w:rFonts w:hint="eastAsia" w:ascii="宋体" w:hAnsi="宋体" w:cs="宋体"/>
                <w:kern w:val="0"/>
              </w:rPr>
              <w:t>预算编制合理性</w:t>
            </w:r>
          </w:p>
        </w:tc>
        <w:tc>
          <w:tcPr>
            <w:tcW w:w="567" w:type="dxa"/>
            <w:tcBorders>
              <w:top w:val="nil"/>
              <w:left w:val="nil"/>
              <w:bottom w:val="single" w:color="auto" w:sz="4" w:space="0"/>
              <w:right w:val="single" w:color="auto" w:sz="4" w:space="0"/>
            </w:tcBorders>
            <w:vAlign w:val="center"/>
          </w:tcPr>
          <w:p w14:paraId="4D022DD8">
            <w:pPr>
              <w:spacing w:line="300" w:lineRule="exact"/>
              <w:jc w:val="center"/>
              <w:rPr>
                <w:rFonts w:ascii="宋体"/>
                <w:kern w:val="0"/>
              </w:rPr>
            </w:pPr>
            <w:r>
              <w:rPr>
                <w:rFonts w:ascii="宋体" w:hAnsi="宋体" w:cs="宋体"/>
                <w:kern w:val="0"/>
              </w:rPr>
              <w:t>5</w:t>
            </w:r>
          </w:p>
        </w:tc>
        <w:tc>
          <w:tcPr>
            <w:tcW w:w="2551" w:type="dxa"/>
            <w:tcBorders>
              <w:top w:val="nil"/>
              <w:left w:val="nil"/>
              <w:bottom w:val="single" w:color="auto" w:sz="4" w:space="0"/>
              <w:right w:val="single" w:color="auto" w:sz="4" w:space="0"/>
            </w:tcBorders>
            <w:vAlign w:val="center"/>
          </w:tcPr>
          <w:p w14:paraId="67A59F04">
            <w:pPr>
              <w:spacing w:line="300" w:lineRule="exact"/>
              <w:rPr>
                <w:rFonts w:ascii="宋体"/>
                <w:kern w:val="0"/>
              </w:rPr>
            </w:pPr>
            <w:r>
              <w:rPr>
                <w:rFonts w:hint="eastAsia" w:ascii="宋体" w:hAnsi="宋体" w:cs="宋体"/>
                <w:kern w:val="0"/>
              </w:rPr>
              <w:t>部门（单位）预算的合理性，即是否符合我局职责、是否符合区委区政府的方针政策和工作要求，资金有无根据项目的轻重缓急进行分配。</w:t>
            </w:r>
          </w:p>
        </w:tc>
        <w:tc>
          <w:tcPr>
            <w:tcW w:w="7371" w:type="dxa"/>
            <w:tcBorders>
              <w:top w:val="nil"/>
              <w:left w:val="nil"/>
              <w:bottom w:val="single" w:color="auto" w:sz="4" w:space="0"/>
              <w:right w:val="single" w:color="auto" w:sz="4" w:space="0"/>
            </w:tcBorders>
          </w:tcPr>
          <w:p w14:paraId="57D25DB4">
            <w:pPr>
              <w:spacing w:line="300" w:lineRule="exact"/>
              <w:rPr>
                <w:rFonts w:ascii="宋体" w:hAnsi="宋体" w:cs="宋体"/>
                <w:kern w:val="0"/>
              </w:rPr>
            </w:pPr>
            <w:r>
              <w:rPr>
                <w:rFonts w:ascii="宋体" w:hAnsi="宋体" w:cs="宋体"/>
                <w:kern w:val="0"/>
              </w:rPr>
              <w:t xml:space="preserve">   1.</w:t>
            </w:r>
            <w:r>
              <w:rPr>
                <w:rFonts w:hint="eastAsia" w:ascii="宋体" w:hAnsi="宋体" w:cs="宋体"/>
                <w:kern w:val="0"/>
              </w:rPr>
              <w:t>部门预算编制、分配符合我局职责、符合区委区政府方针政策和工作要求（</w:t>
            </w:r>
            <w:r>
              <w:rPr>
                <w:rFonts w:ascii="宋体" w:hAnsi="宋体" w:cs="宋体"/>
                <w:kern w:val="0"/>
              </w:rPr>
              <w:t>1</w:t>
            </w:r>
            <w:r>
              <w:rPr>
                <w:rFonts w:hint="eastAsia" w:ascii="宋体" w:hAnsi="宋体" w:cs="宋体"/>
                <w:kern w:val="0"/>
              </w:rPr>
              <w:t>分）；</w:t>
            </w:r>
          </w:p>
          <w:p w14:paraId="3C61A8E5">
            <w:pPr>
              <w:spacing w:line="300" w:lineRule="exact"/>
              <w:rPr>
                <w:rFonts w:ascii="宋体" w:hAnsi="宋体" w:cs="宋体"/>
                <w:kern w:val="0"/>
              </w:rPr>
            </w:pPr>
            <w:r>
              <w:rPr>
                <w:rFonts w:ascii="宋体" w:hAnsi="宋体" w:cs="宋体"/>
                <w:kern w:val="0"/>
              </w:rPr>
              <w:t xml:space="preserve">   2.</w:t>
            </w:r>
            <w:r>
              <w:rPr>
                <w:rFonts w:hint="eastAsia" w:ascii="宋体" w:hAnsi="宋体" w:cs="宋体"/>
                <w:kern w:val="0"/>
              </w:rPr>
              <w:t>部门预算资金能根据年度工作重点，在不同项目、不同用途之间合理分配（</w:t>
            </w:r>
            <w:r>
              <w:rPr>
                <w:rFonts w:ascii="宋体" w:hAnsi="宋体" w:cs="宋体"/>
                <w:kern w:val="0"/>
              </w:rPr>
              <w:t>1</w:t>
            </w:r>
            <w:r>
              <w:rPr>
                <w:rFonts w:hint="eastAsia" w:ascii="宋体" w:hAnsi="宋体" w:cs="宋体"/>
                <w:kern w:val="0"/>
              </w:rPr>
              <w:t>分）；</w:t>
            </w:r>
          </w:p>
          <w:p w14:paraId="09991F41">
            <w:pPr>
              <w:spacing w:line="300" w:lineRule="exact"/>
              <w:rPr>
                <w:rFonts w:ascii="宋体" w:hAnsi="宋体" w:cs="宋体"/>
                <w:kern w:val="0"/>
              </w:rPr>
            </w:pPr>
            <w:r>
              <w:rPr>
                <w:rFonts w:ascii="宋体" w:hAnsi="宋体" w:cs="宋体"/>
                <w:kern w:val="0"/>
              </w:rPr>
              <w:t xml:space="preserve">   3.</w:t>
            </w:r>
            <w:r>
              <w:rPr>
                <w:rFonts w:hint="eastAsia" w:ascii="宋体" w:hAnsi="宋体" w:cs="宋体"/>
                <w:kern w:val="0"/>
              </w:rPr>
              <w:t>专项资金预算编制细化程度合理，未出现因年中调剂导致部门预决算差异过大问题（</w:t>
            </w:r>
            <w:r>
              <w:rPr>
                <w:rFonts w:ascii="宋体" w:hAnsi="宋体" w:cs="宋体"/>
                <w:kern w:val="0"/>
              </w:rPr>
              <w:t>1</w:t>
            </w:r>
            <w:r>
              <w:rPr>
                <w:rFonts w:hint="eastAsia" w:ascii="宋体" w:hAnsi="宋体" w:cs="宋体"/>
                <w:kern w:val="0"/>
              </w:rPr>
              <w:t>分）；</w:t>
            </w:r>
          </w:p>
          <w:p w14:paraId="5250ADB8">
            <w:pPr>
              <w:spacing w:line="300" w:lineRule="exact"/>
              <w:rPr>
                <w:rFonts w:ascii="宋体" w:hAnsi="宋体" w:cs="宋体"/>
                <w:kern w:val="0"/>
              </w:rPr>
            </w:pPr>
            <w:r>
              <w:rPr>
                <w:rFonts w:ascii="宋体" w:hAnsi="宋体" w:cs="宋体"/>
                <w:kern w:val="0"/>
              </w:rPr>
              <w:t xml:space="preserve">   4.</w:t>
            </w:r>
            <w:r>
              <w:rPr>
                <w:rFonts w:hint="eastAsia" w:ascii="宋体" w:hAnsi="宋体" w:cs="宋体"/>
                <w:kern w:val="0"/>
              </w:rPr>
              <w:t>功能分类和经济分类编制准确，年度中间无大量调剂，未发生项目之间频繁调剂（</w:t>
            </w:r>
            <w:r>
              <w:rPr>
                <w:rFonts w:ascii="宋体" w:hAnsi="宋体" w:cs="宋体"/>
                <w:kern w:val="0"/>
              </w:rPr>
              <w:t>1</w:t>
            </w:r>
            <w:r>
              <w:rPr>
                <w:rFonts w:hint="eastAsia" w:ascii="宋体" w:hAnsi="宋体" w:cs="宋体"/>
                <w:kern w:val="0"/>
              </w:rPr>
              <w:t>分）；</w:t>
            </w:r>
          </w:p>
          <w:p w14:paraId="7C255304">
            <w:pPr>
              <w:spacing w:line="300" w:lineRule="exact"/>
              <w:rPr>
                <w:rFonts w:ascii="宋体"/>
                <w:kern w:val="0"/>
              </w:rPr>
            </w:pPr>
            <w:r>
              <w:rPr>
                <w:rFonts w:ascii="宋体" w:hAnsi="宋体" w:cs="宋体"/>
                <w:kern w:val="0"/>
              </w:rPr>
              <w:t xml:space="preserve">   5.</w:t>
            </w:r>
            <w:r>
              <w:rPr>
                <w:rFonts w:hint="eastAsia" w:ascii="宋体" w:hAnsi="宋体" w:cs="宋体"/>
                <w:kern w:val="0"/>
              </w:rPr>
              <w:t>部门预算分配不固化，能根据实际情况合理调整，不存在项目支出进度慢、完成率低、绩效较差，但连年持续安排预算等不合理的情况（</w:t>
            </w:r>
            <w:r>
              <w:rPr>
                <w:rFonts w:ascii="宋体" w:hAnsi="宋体" w:cs="宋体"/>
                <w:kern w:val="0"/>
              </w:rPr>
              <w:t>1</w:t>
            </w:r>
            <w:r>
              <w:rPr>
                <w:rFonts w:hint="eastAsia" w:ascii="宋体" w:hAnsi="宋体" w:cs="宋体"/>
                <w:kern w:val="0"/>
              </w:rPr>
              <w:t>分）。</w:t>
            </w:r>
          </w:p>
        </w:tc>
        <w:tc>
          <w:tcPr>
            <w:tcW w:w="851" w:type="dxa"/>
            <w:tcBorders>
              <w:top w:val="nil"/>
              <w:left w:val="nil"/>
              <w:bottom w:val="single" w:color="auto" w:sz="4" w:space="0"/>
              <w:right w:val="single" w:color="auto" w:sz="4" w:space="0"/>
            </w:tcBorders>
            <w:vAlign w:val="center"/>
          </w:tcPr>
          <w:p w14:paraId="3EEEC53A">
            <w:pPr>
              <w:spacing w:line="300" w:lineRule="exact"/>
              <w:jc w:val="center"/>
              <w:rPr>
                <w:rFonts w:ascii="宋体" w:hAnsi="宋体" w:cs="宋体"/>
                <w:kern w:val="0"/>
              </w:rPr>
            </w:pPr>
            <w:r>
              <w:rPr>
                <w:rFonts w:hint="eastAsia" w:ascii="宋体" w:hAnsi="宋体" w:cs="宋体"/>
                <w:kern w:val="0"/>
              </w:rPr>
              <w:t>5</w:t>
            </w:r>
          </w:p>
        </w:tc>
      </w:tr>
      <w:tr w14:paraId="3DFE1BFD">
        <w:tblPrEx>
          <w:tblCellMar>
            <w:top w:w="0" w:type="dxa"/>
            <w:left w:w="108" w:type="dxa"/>
            <w:bottom w:w="0" w:type="dxa"/>
            <w:right w:w="108" w:type="dxa"/>
          </w:tblCellMar>
        </w:tblPrEx>
        <w:trPr>
          <w:trHeight w:val="466" w:hRule="atLeast"/>
        </w:trPr>
        <w:tc>
          <w:tcPr>
            <w:tcW w:w="577" w:type="dxa"/>
            <w:vMerge w:val="continue"/>
            <w:tcBorders>
              <w:top w:val="nil"/>
              <w:left w:val="single" w:color="auto" w:sz="4" w:space="0"/>
              <w:bottom w:val="single" w:color="auto" w:sz="4" w:space="0"/>
              <w:right w:val="single" w:color="auto" w:sz="4" w:space="0"/>
            </w:tcBorders>
            <w:vAlign w:val="center"/>
          </w:tcPr>
          <w:p w14:paraId="4FA5141C">
            <w:pPr>
              <w:spacing w:line="320" w:lineRule="exact"/>
              <w:rPr>
                <w:rFonts w:ascii="宋体"/>
                <w:kern w:val="0"/>
              </w:rPr>
            </w:pPr>
          </w:p>
        </w:tc>
        <w:tc>
          <w:tcPr>
            <w:tcW w:w="508" w:type="dxa"/>
            <w:vMerge w:val="continue"/>
            <w:tcBorders>
              <w:top w:val="nil"/>
              <w:left w:val="single" w:color="auto" w:sz="4" w:space="0"/>
              <w:bottom w:val="single" w:color="auto" w:sz="4" w:space="0"/>
              <w:right w:val="single" w:color="auto" w:sz="4" w:space="0"/>
            </w:tcBorders>
            <w:vAlign w:val="center"/>
          </w:tcPr>
          <w:p w14:paraId="0B015B41">
            <w:pPr>
              <w:spacing w:line="320" w:lineRule="exact"/>
              <w:rPr>
                <w:rFonts w:ascii="宋体"/>
                <w:kern w:val="0"/>
              </w:rPr>
            </w:pPr>
          </w:p>
        </w:tc>
        <w:tc>
          <w:tcPr>
            <w:tcW w:w="547" w:type="dxa"/>
            <w:vMerge w:val="continue"/>
            <w:tcBorders>
              <w:top w:val="nil"/>
              <w:left w:val="single" w:color="auto" w:sz="4" w:space="0"/>
              <w:bottom w:val="single" w:color="auto" w:sz="4" w:space="0"/>
              <w:right w:val="single" w:color="auto" w:sz="4" w:space="0"/>
            </w:tcBorders>
            <w:vAlign w:val="center"/>
          </w:tcPr>
          <w:p w14:paraId="4E16815D">
            <w:pPr>
              <w:spacing w:line="320" w:lineRule="exact"/>
              <w:rPr>
                <w:rFonts w:ascii="宋体"/>
                <w:kern w:val="0"/>
              </w:rPr>
            </w:pPr>
          </w:p>
        </w:tc>
        <w:tc>
          <w:tcPr>
            <w:tcW w:w="571" w:type="dxa"/>
            <w:vMerge w:val="continue"/>
            <w:tcBorders>
              <w:top w:val="nil"/>
              <w:left w:val="single" w:color="auto" w:sz="4" w:space="0"/>
              <w:bottom w:val="single" w:color="auto" w:sz="4" w:space="0"/>
              <w:right w:val="single" w:color="auto" w:sz="4" w:space="0"/>
            </w:tcBorders>
            <w:vAlign w:val="center"/>
          </w:tcPr>
          <w:p w14:paraId="506DA1D4">
            <w:pPr>
              <w:spacing w:line="300" w:lineRule="exact"/>
              <w:jc w:val="center"/>
              <w:rPr>
                <w:rFonts w:ascii="宋体"/>
                <w:kern w:val="0"/>
              </w:rPr>
            </w:pPr>
          </w:p>
        </w:tc>
        <w:tc>
          <w:tcPr>
            <w:tcW w:w="705" w:type="dxa"/>
            <w:tcBorders>
              <w:top w:val="nil"/>
              <w:left w:val="nil"/>
              <w:bottom w:val="single" w:color="auto" w:sz="4" w:space="0"/>
              <w:right w:val="single" w:color="auto" w:sz="4" w:space="0"/>
            </w:tcBorders>
            <w:vAlign w:val="center"/>
          </w:tcPr>
          <w:p w14:paraId="18E62214">
            <w:pPr>
              <w:spacing w:line="300" w:lineRule="exact"/>
              <w:rPr>
                <w:rFonts w:ascii="宋体"/>
                <w:kern w:val="0"/>
              </w:rPr>
            </w:pPr>
            <w:r>
              <w:rPr>
                <w:rFonts w:hint="eastAsia" w:ascii="宋体" w:hAnsi="宋体" w:cs="宋体"/>
                <w:kern w:val="0"/>
              </w:rPr>
              <w:t>预算编制规范性</w:t>
            </w:r>
          </w:p>
        </w:tc>
        <w:tc>
          <w:tcPr>
            <w:tcW w:w="567" w:type="dxa"/>
            <w:tcBorders>
              <w:top w:val="nil"/>
              <w:left w:val="nil"/>
              <w:bottom w:val="single" w:color="auto" w:sz="4" w:space="0"/>
              <w:right w:val="single" w:color="auto" w:sz="4" w:space="0"/>
            </w:tcBorders>
            <w:vAlign w:val="center"/>
          </w:tcPr>
          <w:p w14:paraId="4FB6077F">
            <w:pPr>
              <w:spacing w:line="300" w:lineRule="exact"/>
              <w:jc w:val="center"/>
              <w:rPr>
                <w:rFonts w:ascii="宋体"/>
                <w:kern w:val="0"/>
              </w:rPr>
            </w:pPr>
            <w:r>
              <w:rPr>
                <w:rFonts w:ascii="宋体" w:hAnsi="宋体" w:cs="宋体"/>
                <w:kern w:val="0"/>
              </w:rPr>
              <w:t>5</w:t>
            </w:r>
          </w:p>
        </w:tc>
        <w:tc>
          <w:tcPr>
            <w:tcW w:w="2551" w:type="dxa"/>
            <w:tcBorders>
              <w:top w:val="nil"/>
              <w:left w:val="nil"/>
              <w:bottom w:val="single" w:color="auto" w:sz="4" w:space="0"/>
              <w:right w:val="single" w:color="auto" w:sz="4" w:space="0"/>
            </w:tcBorders>
            <w:vAlign w:val="center"/>
          </w:tcPr>
          <w:p w14:paraId="154A6FC0">
            <w:pPr>
              <w:spacing w:line="300" w:lineRule="exact"/>
              <w:rPr>
                <w:rFonts w:ascii="宋体"/>
                <w:kern w:val="0"/>
              </w:rPr>
            </w:pPr>
            <w:r>
              <w:rPr>
                <w:rFonts w:hint="eastAsia" w:ascii="宋体" w:hAnsi="宋体" w:cs="宋体"/>
                <w:kern w:val="0"/>
              </w:rPr>
              <w:t>部门（单位）预算编制是否符合财政部门当年度关于预算编制在规范性、完整性、细化程度等方面的原则和要求。</w:t>
            </w:r>
          </w:p>
        </w:tc>
        <w:tc>
          <w:tcPr>
            <w:tcW w:w="7371" w:type="dxa"/>
            <w:tcBorders>
              <w:top w:val="nil"/>
              <w:left w:val="nil"/>
              <w:bottom w:val="single" w:color="auto" w:sz="4" w:space="0"/>
              <w:right w:val="single" w:color="auto" w:sz="4" w:space="0"/>
            </w:tcBorders>
            <w:vAlign w:val="center"/>
          </w:tcPr>
          <w:p w14:paraId="63ADDFB5">
            <w:pPr>
              <w:spacing w:line="300" w:lineRule="exact"/>
              <w:ind w:firstLine="420" w:firstLineChars="200"/>
              <w:rPr>
                <w:rFonts w:ascii="宋体" w:hAnsi="宋体" w:cs="宋体"/>
                <w:kern w:val="0"/>
              </w:rPr>
            </w:pPr>
            <w:r>
              <w:rPr>
                <w:rFonts w:ascii="宋体" w:hAnsi="宋体" w:cs="宋体"/>
                <w:kern w:val="0"/>
              </w:rPr>
              <w:t>1.</w:t>
            </w:r>
            <w:r>
              <w:rPr>
                <w:rFonts w:hint="eastAsia" w:ascii="宋体" w:hAnsi="宋体" w:cs="宋体"/>
                <w:kern w:val="0"/>
              </w:rPr>
              <w:t>部门（单位）预算编制符合财政部门当年度关于预算编制的各项原则和要求，符合专项资金预算编制、项目库管理、新增项目事前绩效评估等要求（</w:t>
            </w:r>
            <w:r>
              <w:rPr>
                <w:rFonts w:ascii="宋体" w:hAnsi="宋体" w:cs="宋体"/>
                <w:kern w:val="0"/>
              </w:rPr>
              <w:t>5</w:t>
            </w:r>
            <w:r>
              <w:rPr>
                <w:rFonts w:hint="eastAsia" w:ascii="宋体" w:hAnsi="宋体" w:cs="宋体"/>
                <w:kern w:val="0"/>
              </w:rPr>
              <w:t>分）；</w:t>
            </w:r>
          </w:p>
          <w:p w14:paraId="206BFD1F">
            <w:pPr>
              <w:spacing w:line="300" w:lineRule="exact"/>
              <w:ind w:firstLine="420" w:firstLineChars="200"/>
              <w:rPr>
                <w:rFonts w:ascii="宋体" w:hAnsi="宋体" w:cs="宋体"/>
                <w:kern w:val="0"/>
              </w:rPr>
            </w:pPr>
            <w:r>
              <w:rPr>
                <w:rFonts w:ascii="宋体" w:hAnsi="宋体" w:cs="宋体"/>
                <w:kern w:val="0"/>
              </w:rPr>
              <w:t>2.</w:t>
            </w:r>
            <w:r>
              <w:rPr>
                <w:rFonts w:hint="eastAsia" w:ascii="宋体" w:hAnsi="宋体" w:cs="宋体"/>
                <w:kern w:val="0"/>
              </w:rPr>
              <w:t>发现一项不符合的扣</w:t>
            </w:r>
            <w:r>
              <w:rPr>
                <w:rFonts w:ascii="宋体" w:hAnsi="宋体" w:cs="宋体"/>
                <w:kern w:val="0"/>
              </w:rPr>
              <w:t>1</w:t>
            </w:r>
            <w:r>
              <w:rPr>
                <w:rFonts w:hint="eastAsia" w:ascii="宋体" w:hAnsi="宋体" w:cs="宋体"/>
                <w:kern w:val="0"/>
              </w:rPr>
              <w:t>分，扣完为止。</w:t>
            </w:r>
          </w:p>
          <w:p w14:paraId="69DA43FC">
            <w:pPr>
              <w:spacing w:line="300" w:lineRule="exact"/>
              <w:rPr>
                <w:rFonts w:ascii="宋体"/>
                <w:kern w:val="0"/>
              </w:rPr>
            </w:pPr>
            <w:r>
              <w:rPr>
                <w:rFonts w:hint="eastAsia" w:ascii="宋体" w:hAnsi="宋体" w:cs="宋体"/>
                <w:kern w:val="0"/>
              </w:rPr>
              <w:t>本指标需对照相应年度由财政部门印发的部门预算编制工作方案、通知和有关制度文件，根据实际情况评分。</w:t>
            </w:r>
          </w:p>
        </w:tc>
        <w:tc>
          <w:tcPr>
            <w:tcW w:w="851" w:type="dxa"/>
            <w:tcBorders>
              <w:top w:val="nil"/>
              <w:left w:val="nil"/>
              <w:bottom w:val="single" w:color="auto" w:sz="4" w:space="0"/>
              <w:right w:val="single" w:color="auto" w:sz="4" w:space="0"/>
            </w:tcBorders>
            <w:vAlign w:val="center"/>
          </w:tcPr>
          <w:p w14:paraId="756EFD73">
            <w:pPr>
              <w:spacing w:line="300" w:lineRule="exact"/>
              <w:jc w:val="center"/>
              <w:rPr>
                <w:rFonts w:ascii="宋体" w:hAnsi="宋体" w:cs="宋体"/>
                <w:kern w:val="0"/>
              </w:rPr>
            </w:pPr>
            <w:r>
              <w:rPr>
                <w:rFonts w:hint="eastAsia" w:ascii="宋体" w:hAnsi="宋体" w:cs="宋体"/>
                <w:kern w:val="0"/>
              </w:rPr>
              <w:t>5</w:t>
            </w:r>
          </w:p>
        </w:tc>
      </w:tr>
      <w:tr w14:paraId="192AB065">
        <w:tblPrEx>
          <w:tblCellMar>
            <w:top w:w="0" w:type="dxa"/>
            <w:left w:w="108" w:type="dxa"/>
            <w:bottom w:w="0" w:type="dxa"/>
            <w:right w:w="108" w:type="dxa"/>
          </w:tblCellMar>
        </w:tblPrEx>
        <w:trPr>
          <w:trHeight w:val="1621" w:hRule="atLeast"/>
        </w:trPr>
        <w:tc>
          <w:tcPr>
            <w:tcW w:w="577" w:type="dxa"/>
            <w:vMerge w:val="continue"/>
            <w:tcBorders>
              <w:top w:val="nil"/>
              <w:left w:val="single" w:color="auto" w:sz="4" w:space="0"/>
              <w:bottom w:val="single" w:color="auto" w:sz="4" w:space="0"/>
              <w:right w:val="single" w:color="auto" w:sz="4" w:space="0"/>
            </w:tcBorders>
            <w:vAlign w:val="center"/>
          </w:tcPr>
          <w:p w14:paraId="58849273">
            <w:pPr>
              <w:spacing w:line="320" w:lineRule="exact"/>
              <w:rPr>
                <w:rFonts w:ascii="宋体"/>
                <w:kern w:val="0"/>
              </w:rPr>
            </w:pPr>
          </w:p>
        </w:tc>
        <w:tc>
          <w:tcPr>
            <w:tcW w:w="508" w:type="dxa"/>
            <w:vMerge w:val="continue"/>
            <w:tcBorders>
              <w:top w:val="nil"/>
              <w:left w:val="single" w:color="auto" w:sz="4" w:space="0"/>
              <w:bottom w:val="single" w:color="auto" w:sz="4" w:space="0"/>
              <w:right w:val="single" w:color="auto" w:sz="4" w:space="0"/>
            </w:tcBorders>
            <w:vAlign w:val="center"/>
          </w:tcPr>
          <w:p w14:paraId="70F321F0">
            <w:pPr>
              <w:spacing w:line="320" w:lineRule="exact"/>
              <w:rPr>
                <w:rFonts w:ascii="宋体"/>
                <w:kern w:val="0"/>
              </w:rPr>
            </w:pPr>
          </w:p>
        </w:tc>
        <w:tc>
          <w:tcPr>
            <w:tcW w:w="547" w:type="dxa"/>
            <w:vMerge w:val="restart"/>
            <w:tcBorders>
              <w:top w:val="nil"/>
              <w:left w:val="single" w:color="auto" w:sz="4" w:space="0"/>
              <w:bottom w:val="single" w:color="auto" w:sz="4" w:space="0"/>
              <w:right w:val="single" w:color="auto" w:sz="4" w:space="0"/>
            </w:tcBorders>
            <w:vAlign w:val="center"/>
          </w:tcPr>
          <w:p w14:paraId="3A69DE10">
            <w:pPr>
              <w:spacing w:line="320" w:lineRule="exact"/>
              <w:rPr>
                <w:rFonts w:ascii="宋体"/>
                <w:kern w:val="0"/>
              </w:rPr>
            </w:pPr>
            <w:r>
              <w:rPr>
                <w:rFonts w:hint="eastAsia" w:ascii="宋体" w:hAnsi="宋体" w:cs="宋体"/>
                <w:kern w:val="0"/>
              </w:rPr>
              <w:t>目标设置</w:t>
            </w:r>
          </w:p>
        </w:tc>
        <w:tc>
          <w:tcPr>
            <w:tcW w:w="571" w:type="dxa"/>
            <w:vMerge w:val="restart"/>
            <w:tcBorders>
              <w:top w:val="nil"/>
              <w:left w:val="single" w:color="auto" w:sz="4" w:space="0"/>
              <w:bottom w:val="single" w:color="auto" w:sz="4" w:space="0"/>
              <w:right w:val="single" w:color="auto" w:sz="4" w:space="0"/>
            </w:tcBorders>
            <w:vAlign w:val="center"/>
          </w:tcPr>
          <w:p w14:paraId="0A78D89E">
            <w:pPr>
              <w:spacing w:line="320" w:lineRule="exact"/>
              <w:jc w:val="center"/>
              <w:rPr>
                <w:rFonts w:ascii="宋体"/>
                <w:kern w:val="0"/>
              </w:rPr>
            </w:pPr>
            <w:r>
              <w:rPr>
                <w:rFonts w:ascii="宋体" w:hAnsi="宋体" w:cs="宋体"/>
                <w:kern w:val="0"/>
              </w:rPr>
              <w:t>10</w:t>
            </w:r>
          </w:p>
        </w:tc>
        <w:tc>
          <w:tcPr>
            <w:tcW w:w="705" w:type="dxa"/>
            <w:tcBorders>
              <w:top w:val="nil"/>
              <w:left w:val="nil"/>
              <w:bottom w:val="single" w:color="auto" w:sz="4" w:space="0"/>
              <w:right w:val="single" w:color="auto" w:sz="4" w:space="0"/>
            </w:tcBorders>
            <w:vAlign w:val="center"/>
          </w:tcPr>
          <w:p w14:paraId="591ADFD7">
            <w:pPr>
              <w:spacing w:line="320" w:lineRule="exact"/>
              <w:rPr>
                <w:rFonts w:ascii="宋体"/>
                <w:kern w:val="0"/>
              </w:rPr>
            </w:pPr>
            <w:r>
              <w:rPr>
                <w:rFonts w:hint="eastAsia" w:ascii="宋体" w:hAnsi="宋体" w:cs="宋体"/>
                <w:kern w:val="0"/>
              </w:rPr>
              <w:t>绩效目标完整性</w:t>
            </w:r>
          </w:p>
        </w:tc>
        <w:tc>
          <w:tcPr>
            <w:tcW w:w="567" w:type="dxa"/>
            <w:tcBorders>
              <w:top w:val="nil"/>
              <w:left w:val="nil"/>
              <w:bottom w:val="single" w:color="auto" w:sz="4" w:space="0"/>
              <w:right w:val="single" w:color="auto" w:sz="4" w:space="0"/>
            </w:tcBorders>
            <w:vAlign w:val="center"/>
          </w:tcPr>
          <w:p w14:paraId="770A2F04">
            <w:pPr>
              <w:spacing w:line="320" w:lineRule="exact"/>
              <w:jc w:val="center"/>
              <w:rPr>
                <w:rFonts w:ascii="宋体"/>
                <w:kern w:val="0"/>
              </w:rPr>
            </w:pPr>
            <w:r>
              <w:rPr>
                <w:rFonts w:ascii="宋体" w:hAnsi="宋体" w:cs="宋体"/>
                <w:kern w:val="0"/>
              </w:rPr>
              <w:t>3</w:t>
            </w:r>
          </w:p>
        </w:tc>
        <w:tc>
          <w:tcPr>
            <w:tcW w:w="2551" w:type="dxa"/>
            <w:tcBorders>
              <w:top w:val="nil"/>
              <w:left w:val="nil"/>
              <w:bottom w:val="single" w:color="auto" w:sz="4" w:space="0"/>
              <w:right w:val="single" w:color="auto" w:sz="4" w:space="0"/>
            </w:tcBorders>
            <w:vAlign w:val="center"/>
          </w:tcPr>
          <w:p w14:paraId="5CBAAC94">
            <w:pPr>
              <w:spacing w:line="320" w:lineRule="exact"/>
              <w:rPr>
                <w:rFonts w:ascii="宋体"/>
                <w:kern w:val="0"/>
              </w:rPr>
            </w:pPr>
            <w:r>
              <w:rPr>
                <w:rFonts w:hint="eastAsia" w:ascii="宋体" w:hAnsi="宋体" w:cs="宋体"/>
                <w:kern w:val="0"/>
              </w:rPr>
              <w:t>部门（单位）是否按要求编报项目绩效目标，是否依据充分、内容完整、覆盖全面、符合实际。</w:t>
            </w:r>
          </w:p>
        </w:tc>
        <w:tc>
          <w:tcPr>
            <w:tcW w:w="7371" w:type="dxa"/>
            <w:tcBorders>
              <w:top w:val="nil"/>
              <w:left w:val="nil"/>
              <w:bottom w:val="single" w:color="auto" w:sz="4" w:space="0"/>
              <w:right w:val="single" w:color="auto" w:sz="4" w:space="0"/>
            </w:tcBorders>
            <w:vAlign w:val="center"/>
          </w:tcPr>
          <w:p w14:paraId="007B9AFD">
            <w:pPr>
              <w:spacing w:line="300" w:lineRule="exact"/>
              <w:rPr>
                <w:rFonts w:ascii="宋体" w:hAnsi="宋体" w:cs="宋体"/>
                <w:kern w:val="0"/>
              </w:rPr>
            </w:pPr>
            <w:r>
              <w:rPr>
                <w:rFonts w:hint="eastAsia" w:ascii="宋体" w:hAnsi="宋体" w:cs="宋体"/>
                <w:kern w:val="0"/>
              </w:rPr>
              <w:t>1.部门（单位）按要求编报部门整体和项目的绩效目标，实现绩效目标全覆盖（</w:t>
            </w:r>
            <w:r>
              <w:rPr>
                <w:rFonts w:ascii="宋体" w:hAnsi="宋体" w:cs="宋体"/>
                <w:kern w:val="0"/>
              </w:rPr>
              <w:t>3</w:t>
            </w:r>
            <w:r>
              <w:rPr>
                <w:rFonts w:hint="eastAsia" w:ascii="宋体" w:hAnsi="宋体" w:cs="宋体"/>
                <w:kern w:val="0"/>
              </w:rPr>
              <w:t>分）；</w:t>
            </w:r>
          </w:p>
          <w:p w14:paraId="20F57AA2">
            <w:pPr>
              <w:spacing w:line="300" w:lineRule="exact"/>
              <w:rPr>
                <w:rFonts w:ascii="宋体" w:hAnsi="宋体" w:cs="宋体"/>
                <w:kern w:val="0"/>
              </w:rPr>
            </w:pPr>
            <w:r>
              <w:rPr>
                <w:rFonts w:hint="eastAsia" w:ascii="宋体" w:hAnsi="宋体" w:cs="宋体"/>
                <w:kern w:val="0"/>
              </w:rPr>
              <w:t>2.没按要求编报绩效目标或绩效目标不符合要求的，一项扣</w:t>
            </w:r>
            <w:r>
              <w:rPr>
                <w:rFonts w:ascii="宋体" w:hAnsi="宋体" w:cs="宋体"/>
                <w:kern w:val="0"/>
              </w:rPr>
              <w:t>1</w:t>
            </w:r>
            <w:r>
              <w:rPr>
                <w:rFonts w:hint="eastAsia" w:ascii="宋体" w:hAnsi="宋体" w:cs="宋体"/>
                <w:kern w:val="0"/>
              </w:rPr>
              <w:t>分，扣完为止。</w:t>
            </w:r>
          </w:p>
        </w:tc>
        <w:tc>
          <w:tcPr>
            <w:tcW w:w="851" w:type="dxa"/>
            <w:tcBorders>
              <w:top w:val="nil"/>
              <w:left w:val="nil"/>
              <w:bottom w:val="single" w:color="auto" w:sz="4" w:space="0"/>
              <w:right w:val="single" w:color="auto" w:sz="4" w:space="0"/>
            </w:tcBorders>
            <w:vAlign w:val="center"/>
          </w:tcPr>
          <w:p w14:paraId="046E5E77">
            <w:pPr>
              <w:spacing w:line="300" w:lineRule="exact"/>
              <w:jc w:val="center"/>
              <w:rPr>
                <w:rFonts w:ascii="宋体" w:hAnsi="宋体" w:cs="宋体"/>
                <w:kern w:val="0"/>
              </w:rPr>
            </w:pPr>
            <w:r>
              <w:rPr>
                <w:rFonts w:hint="eastAsia" w:ascii="宋体" w:hAnsi="宋体" w:cs="宋体"/>
                <w:color w:val="FF0000"/>
                <w:kern w:val="0"/>
              </w:rPr>
              <w:t>2</w:t>
            </w:r>
          </w:p>
        </w:tc>
      </w:tr>
      <w:tr w14:paraId="33F4C473">
        <w:tblPrEx>
          <w:tblCellMar>
            <w:top w:w="0" w:type="dxa"/>
            <w:left w:w="108" w:type="dxa"/>
            <w:bottom w:w="0" w:type="dxa"/>
            <w:right w:w="108" w:type="dxa"/>
          </w:tblCellMar>
        </w:tblPrEx>
        <w:trPr>
          <w:trHeight w:val="1419" w:hRule="atLeast"/>
        </w:trPr>
        <w:tc>
          <w:tcPr>
            <w:tcW w:w="577" w:type="dxa"/>
            <w:vMerge w:val="continue"/>
            <w:tcBorders>
              <w:top w:val="nil"/>
              <w:left w:val="single" w:color="auto" w:sz="4" w:space="0"/>
              <w:bottom w:val="single" w:color="auto" w:sz="4" w:space="0"/>
              <w:right w:val="single" w:color="auto" w:sz="4" w:space="0"/>
            </w:tcBorders>
            <w:vAlign w:val="center"/>
          </w:tcPr>
          <w:p w14:paraId="15BDD485">
            <w:pPr>
              <w:spacing w:line="320" w:lineRule="exact"/>
              <w:rPr>
                <w:rFonts w:ascii="宋体"/>
                <w:kern w:val="0"/>
              </w:rPr>
            </w:pPr>
          </w:p>
        </w:tc>
        <w:tc>
          <w:tcPr>
            <w:tcW w:w="508" w:type="dxa"/>
            <w:vMerge w:val="continue"/>
            <w:tcBorders>
              <w:top w:val="nil"/>
              <w:left w:val="single" w:color="auto" w:sz="4" w:space="0"/>
              <w:bottom w:val="single" w:color="auto" w:sz="4" w:space="0"/>
              <w:right w:val="single" w:color="auto" w:sz="4" w:space="0"/>
            </w:tcBorders>
            <w:vAlign w:val="center"/>
          </w:tcPr>
          <w:p w14:paraId="2E8EA887">
            <w:pPr>
              <w:spacing w:line="320" w:lineRule="exact"/>
              <w:rPr>
                <w:rFonts w:ascii="宋体"/>
                <w:kern w:val="0"/>
              </w:rPr>
            </w:pPr>
          </w:p>
        </w:tc>
        <w:tc>
          <w:tcPr>
            <w:tcW w:w="547" w:type="dxa"/>
            <w:vMerge w:val="continue"/>
            <w:tcBorders>
              <w:top w:val="nil"/>
              <w:left w:val="single" w:color="auto" w:sz="4" w:space="0"/>
              <w:bottom w:val="single" w:color="auto" w:sz="4" w:space="0"/>
              <w:right w:val="single" w:color="auto" w:sz="4" w:space="0"/>
            </w:tcBorders>
            <w:vAlign w:val="center"/>
          </w:tcPr>
          <w:p w14:paraId="31E419B3">
            <w:pPr>
              <w:spacing w:line="320" w:lineRule="exact"/>
              <w:rPr>
                <w:rFonts w:ascii="宋体"/>
                <w:kern w:val="0"/>
              </w:rPr>
            </w:pPr>
          </w:p>
        </w:tc>
        <w:tc>
          <w:tcPr>
            <w:tcW w:w="571" w:type="dxa"/>
            <w:vMerge w:val="continue"/>
            <w:tcBorders>
              <w:top w:val="nil"/>
              <w:left w:val="single" w:color="auto" w:sz="4" w:space="0"/>
              <w:bottom w:val="single" w:color="auto" w:sz="4" w:space="0"/>
              <w:right w:val="single" w:color="auto" w:sz="4" w:space="0"/>
            </w:tcBorders>
            <w:vAlign w:val="center"/>
          </w:tcPr>
          <w:p w14:paraId="16BAB146">
            <w:pPr>
              <w:spacing w:line="320" w:lineRule="exact"/>
              <w:jc w:val="center"/>
              <w:rPr>
                <w:rFonts w:ascii="宋体"/>
                <w:kern w:val="0"/>
              </w:rPr>
            </w:pPr>
          </w:p>
        </w:tc>
        <w:tc>
          <w:tcPr>
            <w:tcW w:w="705" w:type="dxa"/>
            <w:tcBorders>
              <w:top w:val="nil"/>
              <w:left w:val="nil"/>
              <w:bottom w:val="single" w:color="auto" w:sz="4" w:space="0"/>
              <w:right w:val="single" w:color="auto" w:sz="4" w:space="0"/>
            </w:tcBorders>
            <w:vAlign w:val="center"/>
          </w:tcPr>
          <w:p w14:paraId="132F7FF8">
            <w:pPr>
              <w:spacing w:line="320" w:lineRule="exact"/>
              <w:rPr>
                <w:rFonts w:ascii="宋体"/>
                <w:kern w:val="0"/>
              </w:rPr>
            </w:pPr>
            <w:r>
              <w:rPr>
                <w:rFonts w:hint="eastAsia" w:ascii="宋体" w:hAnsi="宋体" w:cs="宋体"/>
                <w:kern w:val="0"/>
              </w:rPr>
              <w:t>绩效指标明确性</w:t>
            </w:r>
          </w:p>
        </w:tc>
        <w:tc>
          <w:tcPr>
            <w:tcW w:w="567" w:type="dxa"/>
            <w:tcBorders>
              <w:top w:val="nil"/>
              <w:left w:val="nil"/>
              <w:bottom w:val="single" w:color="auto" w:sz="4" w:space="0"/>
              <w:right w:val="single" w:color="auto" w:sz="4" w:space="0"/>
            </w:tcBorders>
            <w:vAlign w:val="center"/>
          </w:tcPr>
          <w:p w14:paraId="204D0B66">
            <w:pPr>
              <w:spacing w:line="320" w:lineRule="exact"/>
              <w:jc w:val="center"/>
              <w:rPr>
                <w:rFonts w:ascii="宋体"/>
                <w:kern w:val="0"/>
              </w:rPr>
            </w:pPr>
            <w:r>
              <w:rPr>
                <w:rFonts w:hint="eastAsia" w:ascii="宋体" w:hAnsi="宋体" w:cs="宋体"/>
                <w:kern w:val="0"/>
              </w:rPr>
              <w:t>7</w:t>
            </w:r>
          </w:p>
        </w:tc>
        <w:tc>
          <w:tcPr>
            <w:tcW w:w="2551" w:type="dxa"/>
            <w:tcBorders>
              <w:top w:val="nil"/>
              <w:left w:val="nil"/>
              <w:bottom w:val="single" w:color="auto" w:sz="4" w:space="0"/>
              <w:right w:val="single" w:color="auto" w:sz="4" w:space="0"/>
            </w:tcBorders>
            <w:vAlign w:val="center"/>
          </w:tcPr>
          <w:p w14:paraId="46BB1006">
            <w:pPr>
              <w:spacing w:line="320" w:lineRule="exact"/>
              <w:rPr>
                <w:rFonts w:ascii="宋体"/>
                <w:kern w:val="0"/>
              </w:rPr>
            </w:pPr>
            <w:r>
              <w:rPr>
                <w:rFonts w:hint="eastAsia" w:ascii="宋体" w:hAnsi="宋体" w:cs="宋体"/>
                <w:kern w:val="0"/>
              </w:rPr>
              <w:t>部门（单位）设定的绩效指标是否清晰、细化、可量化，用以反映和考核部门（单位）整体绩效目标的明细化情况。</w:t>
            </w:r>
          </w:p>
        </w:tc>
        <w:tc>
          <w:tcPr>
            <w:tcW w:w="7371" w:type="dxa"/>
            <w:tcBorders>
              <w:top w:val="nil"/>
              <w:left w:val="nil"/>
              <w:bottom w:val="single" w:color="auto" w:sz="4" w:space="0"/>
              <w:right w:val="single" w:color="auto" w:sz="4" w:space="0"/>
            </w:tcBorders>
            <w:vAlign w:val="center"/>
          </w:tcPr>
          <w:p w14:paraId="11628EB6">
            <w:pPr>
              <w:spacing w:line="300" w:lineRule="exact"/>
              <w:ind w:firstLine="420" w:firstLineChars="200"/>
              <w:rPr>
                <w:rFonts w:ascii="宋体" w:hAnsi="宋体" w:cs="宋体"/>
                <w:kern w:val="0"/>
              </w:rPr>
            </w:pPr>
            <w:r>
              <w:rPr>
                <w:rFonts w:ascii="宋体" w:hAnsi="宋体" w:cs="宋体"/>
                <w:kern w:val="0"/>
              </w:rPr>
              <w:t>1.</w:t>
            </w:r>
            <w:r>
              <w:rPr>
                <w:rFonts w:hint="eastAsia" w:ascii="宋体" w:hAnsi="宋体" w:cs="宋体"/>
                <w:kern w:val="0"/>
              </w:rPr>
              <w:t>绩效指标将部门整体绩效目标细化分解为具体工作任务，与部门年度任务数或计划数相对应（2分）；</w:t>
            </w:r>
          </w:p>
          <w:p w14:paraId="0D0993B8">
            <w:pPr>
              <w:spacing w:line="300" w:lineRule="exact"/>
              <w:ind w:firstLine="420" w:firstLineChars="200"/>
              <w:rPr>
                <w:rFonts w:ascii="宋体" w:hAnsi="宋体" w:cs="宋体"/>
                <w:kern w:val="0"/>
              </w:rPr>
            </w:pPr>
            <w:r>
              <w:rPr>
                <w:rFonts w:hint="eastAsia" w:ascii="宋体" w:hAnsi="宋体" w:cs="宋体"/>
                <w:kern w:val="0"/>
              </w:rPr>
              <w:t>2.绩效指标中包含能够明确体现部门（单位）履职效果的社会、经济、生态效益指标（2分）；</w:t>
            </w:r>
          </w:p>
          <w:p w14:paraId="4374A4C7">
            <w:pPr>
              <w:spacing w:line="300" w:lineRule="exact"/>
              <w:ind w:firstLine="420" w:firstLineChars="200"/>
              <w:rPr>
                <w:rFonts w:ascii="宋体" w:hAnsi="宋体" w:cs="宋体"/>
                <w:kern w:val="0"/>
              </w:rPr>
            </w:pPr>
            <w:r>
              <w:rPr>
                <w:rFonts w:hint="eastAsia" w:ascii="宋体" w:hAnsi="宋体" w:cs="宋体"/>
                <w:kern w:val="0"/>
              </w:rPr>
              <w:t>3.绩效指标具有清晰、可衡量的指标值（</w:t>
            </w:r>
            <w:r>
              <w:rPr>
                <w:rFonts w:ascii="宋体" w:hAnsi="宋体" w:cs="宋体"/>
                <w:kern w:val="0"/>
              </w:rPr>
              <w:t>1</w:t>
            </w:r>
            <w:r>
              <w:rPr>
                <w:rFonts w:hint="eastAsia" w:ascii="宋体" w:hAnsi="宋体" w:cs="宋体"/>
                <w:kern w:val="0"/>
              </w:rPr>
              <w:t>分）；</w:t>
            </w:r>
          </w:p>
          <w:p w14:paraId="6CE24334">
            <w:pPr>
              <w:spacing w:line="300" w:lineRule="exact"/>
              <w:ind w:firstLine="420" w:firstLineChars="200"/>
              <w:rPr>
                <w:rFonts w:ascii="宋体" w:hAnsi="宋体" w:cs="宋体"/>
                <w:kern w:val="0"/>
              </w:rPr>
            </w:pPr>
            <w:r>
              <w:rPr>
                <w:rFonts w:hint="eastAsia" w:ascii="宋体" w:hAnsi="宋体" w:cs="宋体"/>
                <w:kern w:val="0"/>
              </w:rPr>
              <w:t>4</w:t>
            </w:r>
            <w:r>
              <w:rPr>
                <w:rFonts w:ascii="宋体" w:hAnsi="宋体" w:cs="宋体"/>
                <w:kern w:val="0"/>
              </w:rPr>
              <w:t>.</w:t>
            </w:r>
            <w:r>
              <w:rPr>
                <w:rFonts w:hint="eastAsia" w:ascii="宋体" w:hAnsi="宋体" w:cs="宋体"/>
                <w:kern w:val="0"/>
              </w:rPr>
              <w:t>绩效指标包含可量化的指标（</w:t>
            </w:r>
            <w:r>
              <w:rPr>
                <w:rFonts w:ascii="宋体" w:hAnsi="宋体" w:cs="宋体"/>
                <w:kern w:val="0"/>
              </w:rPr>
              <w:t>1</w:t>
            </w:r>
            <w:r>
              <w:rPr>
                <w:rFonts w:hint="eastAsia" w:ascii="宋体" w:hAnsi="宋体" w:cs="宋体"/>
                <w:kern w:val="0"/>
              </w:rPr>
              <w:t>分）；</w:t>
            </w:r>
          </w:p>
          <w:p w14:paraId="3F3904B9">
            <w:pPr>
              <w:spacing w:line="300" w:lineRule="exact"/>
              <w:ind w:firstLine="420" w:firstLineChars="200"/>
              <w:rPr>
                <w:rFonts w:ascii="宋体" w:hAnsi="宋体" w:cs="宋体"/>
                <w:kern w:val="0"/>
              </w:rPr>
            </w:pPr>
            <w:r>
              <w:rPr>
                <w:rFonts w:hint="eastAsia" w:ascii="宋体" w:hAnsi="宋体" w:cs="宋体"/>
                <w:kern w:val="0"/>
              </w:rPr>
              <w:t>5</w:t>
            </w:r>
            <w:r>
              <w:rPr>
                <w:rFonts w:ascii="宋体" w:hAnsi="宋体" w:cs="宋体"/>
                <w:kern w:val="0"/>
              </w:rPr>
              <w:t>.</w:t>
            </w:r>
            <w:r>
              <w:rPr>
                <w:rFonts w:hint="eastAsia" w:ascii="宋体" w:hAnsi="宋体" w:cs="宋体"/>
                <w:kern w:val="0"/>
              </w:rPr>
              <w:t>绩效目标的目标值测算能提供相关依据或符合客观实际情况（</w:t>
            </w:r>
            <w:r>
              <w:rPr>
                <w:rFonts w:ascii="宋体" w:hAnsi="宋体" w:cs="宋体"/>
                <w:kern w:val="0"/>
              </w:rPr>
              <w:t>1</w:t>
            </w:r>
            <w:r>
              <w:rPr>
                <w:rFonts w:hint="eastAsia" w:ascii="宋体" w:hAnsi="宋体" w:cs="宋体"/>
                <w:kern w:val="0"/>
              </w:rPr>
              <w:t>分）。</w:t>
            </w:r>
          </w:p>
        </w:tc>
        <w:tc>
          <w:tcPr>
            <w:tcW w:w="851" w:type="dxa"/>
            <w:tcBorders>
              <w:top w:val="nil"/>
              <w:left w:val="nil"/>
              <w:bottom w:val="single" w:color="auto" w:sz="4" w:space="0"/>
              <w:right w:val="single" w:color="auto" w:sz="4" w:space="0"/>
            </w:tcBorders>
            <w:vAlign w:val="center"/>
          </w:tcPr>
          <w:p w14:paraId="0976F72A">
            <w:pPr>
              <w:spacing w:line="320" w:lineRule="exact"/>
              <w:jc w:val="center"/>
              <w:rPr>
                <w:rFonts w:ascii="宋体" w:hAnsi="宋体" w:cs="宋体"/>
                <w:kern w:val="0"/>
              </w:rPr>
            </w:pPr>
            <w:r>
              <w:rPr>
                <w:rFonts w:hint="eastAsia" w:ascii="宋体" w:hAnsi="宋体" w:cs="宋体"/>
                <w:color w:val="FF0000"/>
                <w:kern w:val="0"/>
              </w:rPr>
              <w:t>6</w:t>
            </w:r>
          </w:p>
        </w:tc>
      </w:tr>
      <w:tr w14:paraId="7594FCF9">
        <w:tblPrEx>
          <w:tblCellMar>
            <w:top w:w="0" w:type="dxa"/>
            <w:left w:w="108" w:type="dxa"/>
            <w:bottom w:w="0" w:type="dxa"/>
            <w:right w:w="108" w:type="dxa"/>
          </w:tblCellMar>
        </w:tblPrEx>
        <w:trPr>
          <w:trHeight w:val="418" w:hRule="atLeast"/>
        </w:trPr>
        <w:tc>
          <w:tcPr>
            <w:tcW w:w="577" w:type="dxa"/>
            <w:vMerge w:val="restart"/>
            <w:tcBorders>
              <w:top w:val="nil"/>
              <w:left w:val="single" w:color="auto" w:sz="4" w:space="0"/>
              <w:bottom w:val="single" w:color="auto" w:sz="4" w:space="0"/>
              <w:right w:val="single" w:color="auto" w:sz="4" w:space="0"/>
            </w:tcBorders>
            <w:vAlign w:val="center"/>
          </w:tcPr>
          <w:p w14:paraId="50214079">
            <w:pPr>
              <w:spacing w:line="320" w:lineRule="exact"/>
              <w:rPr>
                <w:rFonts w:ascii="宋体"/>
                <w:kern w:val="0"/>
              </w:rPr>
            </w:pPr>
            <w:r>
              <w:rPr>
                <w:rFonts w:hint="eastAsia" w:ascii="宋体" w:hAnsi="宋体" w:cs="宋体"/>
                <w:kern w:val="0"/>
              </w:rPr>
              <w:t>部门管理</w:t>
            </w:r>
          </w:p>
        </w:tc>
        <w:tc>
          <w:tcPr>
            <w:tcW w:w="508" w:type="dxa"/>
            <w:vMerge w:val="restart"/>
            <w:tcBorders>
              <w:top w:val="nil"/>
              <w:left w:val="single" w:color="auto" w:sz="4" w:space="0"/>
              <w:bottom w:val="single" w:color="auto" w:sz="4" w:space="0"/>
              <w:right w:val="single" w:color="auto" w:sz="4" w:space="0"/>
            </w:tcBorders>
            <w:vAlign w:val="center"/>
          </w:tcPr>
          <w:p w14:paraId="26B353DA">
            <w:pPr>
              <w:spacing w:line="320" w:lineRule="exact"/>
              <w:rPr>
                <w:rFonts w:ascii="宋体"/>
                <w:kern w:val="0"/>
              </w:rPr>
            </w:pPr>
            <w:r>
              <w:rPr>
                <w:rFonts w:hint="eastAsia" w:ascii="宋体" w:hAnsi="宋体" w:cs="宋体"/>
                <w:kern w:val="0"/>
              </w:rPr>
              <w:t>20</w:t>
            </w:r>
          </w:p>
        </w:tc>
        <w:tc>
          <w:tcPr>
            <w:tcW w:w="547" w:type="dxa"/>
            <w:vMerge w:val="restart"/>
            <w:tcBorders>
              <w:top w:val="nil"/>
              <w:left w:val="single" w:color="auto" w:sz="4" w:space="0"/>
              <w:bottom w:val="single" w:color="auto" w:sz="4" w:space="0"/>
              <w:right w:val="single" w:color="auto" w:sz="4" w:space="0"/>
            </w:tcBorders>
            <w:vAlign w:val="center"/>
          </w:tcPr>
          <w:p w14:paraId="48A48944">
            <w:pPr>
              <w:spacing w:line="320" w:lineRule="exact"/>
              <w:rPr>
                <w:rFonts w:ascii="宋体"/>
                <w:kern w:val="0"/>
              </w:rPr>
            </w:pPr>
            <w:r>
              <w:rPr>
                <w:rFonts w:hint="eastAsia" w:ascii="宋体" w:hAnsi="宋体" w:cs="宋体"/>
                <w:kern w:val="0"/>
              </w:rPr>
              <w:t>资金管理</w:t>
            </w:r>
          </w:p>
        </w:tc>
        <w:tc>
          <w:tcPr>
            <w:tcW w:w="571" w:type="dxa"/>
            <w:vMerge w:val="restart"/>
            <w:tcBorders>
              <w:top w:val="nil"/>
              <w:left w:val="single" w:color="auto" w:sz="4" w:space="0"/>
              <w:bottom w:val="single" w:color="auto" w:sz="4" w:space="0"/>
              <w:right w:val="single" w:color="auto" w:sz="4" w:space="0"/>
            </w:tcBorders>
            <w:vAlign w:val="center"/>
          </w:tcPr>
          <w:p w14:paraId="6B32E2F2">
            <w:pPr>
              <w:spacing w:line="320" w:lineRule="exact"/>
              <w:jc w:val="center"/>
              <w:rPr>
                <w:rFonts w:ascii="宋体"/>
                <w:kern w:val="0"/>
              </w:rPr>
            </w:pPr>
            <w:r>
              <w:rPr>
                <w:rFonts w:hint="eastAsia" w:ascii="宋体" w:hAnsi="宋体" w:cs="宋体"/>
                <w:kern w:val="0"/>
              </w:rPr>
              <w:t>8</w:t>
            </w:r>
          </w:p>
        </w:tc>
        <w:tc>
          <w:tcPr>
            <w:tcW w:w="705" w:type="dxa"/>
            <w:tcBorders>
              <w:top w:val="single" w:color="auto" w:sz="4" w:space="0"/>
              <w:left w:val="nil"/>
              <w:bottom w:val="single" w:color="auto" w:sz="4" w:space="0"/>
              <w:right w:val="single" w:color="auto" w:sz="4" w:space="0"/>
            </w:tcBorders>
            <w:vAlign w:val="center"/>
          </w:tcPr>
          <w:p w14:paraId="1A3957AD">
            <w:pPr>
              <w:spacing w:line="320" w:lineRule="exact"/>
              <w:rPr>
                <w:rFonts w:ascii="宋体"/>
                <w:kern w:val="0"/>
              </w:rPr>
            </w:pPr>
            <w:r>
              <w:rPr>
                <w:rFonts w:hint="eastAsia" w:ascii="宋体" w:hAnsi="宋体" w:cs="宋体"/>
                <w:kern w:val="0"/>
              </w:rPr>
              <w:t>政府采购执行情况</w:t>
            </w:r>
          </w:p>
        </w:tc>
        <w:tc>
          <w:tcPr>
            <w:tcW w:w="567" w:type="dxa"/>
            <w:tcBorders>
              <w:top w:val="single" w:color="auto" w:sz="4" w:space="0"/>
              <w:left w:val="nil"/>
              <w:bottom w:val="single" w:color="auto" w:sz="4" w:space="0"/>
              <w:right w:val="single" w:color="auto" w:sz="4" w:space="0"/>
            </w:tcBorders>
            <w:vAlign w:val="center"/>
          </w:tcPr>
          <w:p w14:paraId="24E541C5">
            <w:pPr>
              <w:spacing w:line="320" w:lineRule="exact"/>
              <w:jc w:val="center"/>
              <w:rPr>
                <w:rFonts w:ascii="宋体"/>
                <w:kern w:val="0"/>
              </w:rPr>
            </w:pPr>
            <w:r>
              <w:rPr>
                <w:rFonts w:ascii="宋体" w:hAnsi="宋体" w:cs="宋体"/>
                <w:kern w:val="0"/>
              </w:rPr>
              <w:t>2</w:t>
            </w:r>
          </w:p>
        </w:tc>
        <w:tc>
          <w:tcPr>
            <w:tcW w:w="2551" w:type="dxa"/>
            <w:tcBorders>
              <w:top w:val="single" w:color="auto" w:sz="4" w:space="0"/>
              <w:left w:val="nil"/>
              <w:bottom w:val="single" w:color="auto" w:sz="4" w:space="0"/>
              <w:right w:val="single" w:color="auto" w:sz="4" w:space="0"/>
            </w:tcBorders>
            <w:vAlign w:val="center"/>
          </w:tcPr>
          <w:p w14:paraId="0A18E5B5">
            <w:pPr>
              <w:spacing w:line="320" w:lineRule="exact"/>
              <w:rPr>
                <w:rFonts w:ascii="宋体"/>
                <w:kern w:val="0"/>
              </w:rPr>
            </w:pPr>
            <w:r>
              <w:rPr>
                <w:rFonts w:hint="eastAsia" w:ascii="宋体" w:hAnsi="宋体" w:cs="宋体"/>
                <w:kern w:val="0"/>
              </w:rPr>
              <w:t>部门（单位）本年度实际政府采购金额与年度政府采购预算的比率，用以反映和考核部门（单位）政府采购预算执行情况；政府采购政策功能的执行和落实情况。</w:t>
            </w:r>
          </w:p>
        </w:tc>
        <w:tc>
          <w:tcPr>
            <w:tcW w:w="7371" w:type="dxa"/>
            <w:tcBorders>
              <w:top w:val="single" w:color="auto" w:sz="4" w:space="0"/>
              <w:left w:val="nil"/>
              <w:bottom w:val="single" w:color="auto" w:sz="4" w:space="0"/>
              <w:right w:val="single" w:color="auto" w:sz="4" w:space="0"/>
            </w:tcBorders>
            <w:vAlign w:val="center"/>
          </w:tcPr>
          <w:p w14:paraId="7830FAA3">
            <w:pPr>
              <w:spacing w:line="300" w:lineRule="exact"/>
              <w:rPr>
                <w:rFonts w:ascii="宋体" w:hAnsi="宋体" w:cs="宋体"/>
                <w:kern w:val="0"/>
              </w:rPr>
            </w:pPr>
            <w:r>
              <w:rPr>
                <w:rFonts w:hint="eastAsia" w:ascii="宋体" w:hAnsi="宋体" w:cs="宋体"/>
                <w:kern w:val="0"/>
              </w:rPr>
              <w:t>1.政府采购执行率得分</w:t>
            </w:r>
            <w:r>
              <w:rPr>
                <w:rFonts w:ascii="宋体" w:hAnsi="宋体" w:cs="宋体"/>
                <w:kern w:val="0"/>
              </w:rPr>
              <w:t>=</w:t>
            </w:r>
            <w:r>
              <w:rPr>
                <w:rFonts w:hint="eastAsia" w:ascii="宋体" w:hAnsi="宋体" w:cs="宋体"/>
                <w:kern w:val="0"/>
              </w:rPr>
              <w:t>政府采购执行率×1分</w:t>
            </w:r>
          </w:p>
          <w:p w14:paraId="0A0C2DAA">
            <w:pPr>
              <w:spacing w:line="300" w:lineRule="exact"/>
              <w:rPr>
                <w:rFonts w:ascii="宋体" w:hAnsi="宋体" w:cs="宋体"/>
                <w:kern w:val="0"/>
              </w:rPr>
            </w:pPr>
            <w:r>
              <w:rPr>
                <w:rFonts w:hint="eastAsia" w:ascii="宋体" w:hAnsi="宋体" w:cs="宋体"/>
                <w:kern w:val="0"/>
              </w:rPr>
              <w:t>政府采购执行率</w:t>
            </w:r>
            <w:r>
              <w:rPr>
                <w:rFonts w:ascii="宋体" w:hAnsi="宋体" w:cs="宋体"/>
                <w:kern w:val="0"/>
              </w:rPr>
              <w:t>=</w:t>
            </w:r>
            <w:r>
              <w:rPr>
                <w:rFonts w:hint="eastAsia" w:ascii="宋体" w:hAnsi="宋体" w:cs="宋体"/>
                <w:kern w:val="0"/>
              </w:rPr>
              <w:t>（实际采购金额合计数</w:t>
            </w:r>
            <w:r>
              <w:rPr>
                <w:rFonts w:ascii="宋体" w:hAnsi="宋体" w:cs="宋体"/>
                <w:kern w:val="0"/>
              </w:rPr>
              <w:t>/</w:t>
            </w:r>
            <w:r>
              <w:rPr>
                <w:rFonts w:hint="eastAsia" w:ascii="宋体" w:hAnsi="宋体" w:cs="宋体"/>
                <w:kern w:val="0"/>
              </w:rPr>
              <w:t>采购计划金额合计数）×</w:t>
            </w:r>
            <w:r>
              <w:rPr>
                <w:rFonts w:ascii="宋体" w:hAnsi="宋体" w:cs="宋体"/>
                <w:kern w:val="0"/>
              </w:rPr>
              <w:t>100%</w:t>
            </w:r>
          </w:p>
          <w:p w14:paraId="10407C59">
            <w:pPr>
              <w:spacing w:line="300" w:lineRule="exact"/>
              <w:rPr>
                <w:rFonts w:ascii="宋体" w:hAnsi="宋体" w:cs="宋体"/>
                <w:kern w:val="0"/>
              </w:rPr>
            </w:pPr>
            <w:r>
              <w:rPr>
                <w:rFonts w:hint="eastAsia" w:ascii="宋体" w:hAnsi="宋体" w:cs="宋体"/>
                <w:kern w:val="0"/>
              </w:rPr>
              <w:t>如实际采购金额大于采购计划金额，本项得0分。</w:t>
            </w:r>
          </w:p>
          <w:p w14:paraId="14EF0E8B">
            <w:pPr>
              <w:spacing w:line="300" w:lineRule="exact"/>
              <w:rPr>
                <w:rFonts w:ascii="宋体" w:hAnsi="宋体" w:cs="宋体"/>
                <w:kern w:val="0"/>
              </w:rPr>
            </w:pPr>
            <w:r>
              <w:rPr>
                <w:rFonts w:hint="eastAsia" w:ascii="宋体" w:hAnsi="宋体" w:cs="宋体"/>
                <w:kern w:val="0"/>
              </w:rPr>
              <w:t>政府采购预算是指采购机关根据事业发展计划和行政任务编制的</w:t>
            </w:r>
            <w:r>
              <w:rPr>
                <w:rFonts w:hint="eastAsia" w:ascii="宋体" w:hAnsi="宋体" w:cs="宋体"/>
                <w:kern w:val="0"/>
                <w:lang w:eastAsia="zh-CN"/>
              </w:rPr>
              <w:t>，</w:t>
            </w:r>
            <w:r>
              <w:rPr>
                <w:rFonts w:hint="eastAsia" w:ascii="宋体" w:hAnsi="宋体" w:cs="宋体"/>
                <w:kern w:val="0"/>
              </w:rPr>
              <w:t>并经过规定程序批准的年度政府采购计划。</w:t>
            </w:r>
          </w:p>
          <w:p w14:paraId="320DA46B">
            <w:pPr>
              <w:spacing w:line="300" w:lineRule="exact"/>
              <w:rPr>
                <w:rFonts w:ascii="宋体" w:hAnsi="宋体" w:cs="宋体"/>
                <w:kern w:val="0"/>
              </w:rPr>
            </w:pPr>
            <w:r>
              <w:rPr>
                <w:rFonts w:hint="eastAsia" w:ascii="宋体" w:hAnsi="宋体" w:cs="宋体"/>
                <w:kern w:val="0"/>
              </w:rPr>
              <w:t>2.政府采购政策功能的执行和落实情况（1分），落实不到位的酌情扣分。</w:t>
            </w:r>
          </w:p>
        </w:tc>
        <w:tc>
          <w:tcPr>
            <w:tcW w:w="851" w:type="dxa"/>
            <w:tcBorders>
              <w:top w:val="single" w:color="auto" w:sz="4" w:space="0"/>
              <w:left w:val="nil"/>
              <w:bottom w:val="single" w:color="auto" w:sz="4" w:space="0"/>
              <w:right w:val="single" w:color="auto" w:sz="4" w:space="0"/>
            </w:tcBorders>
            <w:vAlign w:val="center"/>
          </w:tcPr>
          <w:p w14:paraId="50696002">
            <w:pPr>
              <w:spacing w:line="320" w:lineRule="exact"/>
              <w:jc w:val="center"/>
              <w:rPr>
                <w:rFonts w:ascii="宋体" w:hAnsi="宋体" w:cs="宋体"/>
                <w:kern w:val="0"/>
              </w:rPr>
            </w:pPr>
            <w:r>
              <w:rPr>
                <w:rFonts w:ascii="宋体" w:hAnsi="宋体" w:cs="宋体"/>
                <w:kern w:val="0"/>
              </w:rPr>
              <w:t>2</w:t>
            </w:r>
          </w:p>
        </w:tc>
      </w:tr>
      <w:tr w14:paraId="086FDD64">
        <w:tblPrEx>
          <w:tblCellMar>
            <w:top w:w="0" w:type="dxa"/>
            <w:left w:w="108" w:type="dxa"/>
            <w:bottom w:w="0" w:type="dxa"/>
            <w:right w:w="108" w:type="dxa"/>
          </w:tblCellMar>
        </w:tblPrEx>
        <w:trPr>
          <w:trHeight w:val="1819" w:hRule="atLeast"/>
        </w:trPr>
        <w:tc>
          <w:tcPr>
            <w:tcW w:w="577" w:type="dxa"/>
            <w:vMerge w:val="continue"/>
            <w:tcBorders>
              <w:top w:val="nil"/>
              <w:left w:val="single" w:color="auto" w:sz="4" w:space="0"/>
              <w:bottom w:val="single" w:color="auto" w:sz="4" w:space="0"/>
              <w:right w:val="single" w:color="auto" w:sz="4" w:space="0"/>
            </w:tcBorders>
            <w:vAlign w:val="center"/>
          </w:tcPr>
          <w:p w14:paraId="6FB9CAE6">
            <w:pPr>
              <w:spacing w:line="320" w:lineRule="exact"/>
              <w:rPr>
                <w:rFonts w:ascii="宋体"/>
                <w:kern w:val="0"/>
              </w:rPr>
            </w:pPr>
          </w:p>
        </w:tc>
        <w:tc>
          <w:tcPr>
            <w:tcW w:w="508" w:type="dxa"/>
            <w:vMerge w:val="continue"/>
            <w:tcBorders>
              <w:top w:val="nil"/>
              <w:left w:val="single" w:color="auto" w:sz="4" w:space="0"/>
              <w:bottom w:val="single" w:color="auto" w:sz="4" w:space="0"/>
              <w:right w:val="single" w:color="auto" w:sz="4" w:space="0"/>
            </w:tcBorders>
            <w:vAlign w:val="center"/>
          </w:tcPr>
          <w:p w14:paraId="45A9CFDE">
            <w:pPr>
              <w:spacing w:line="320" w:lineRule="exact"/>
              <w:rPr>
                <w:rFonts w:ascii="宋体"/>
                <w:kern w:val="0"/>
              </w:rPr>
            </w:pPr>
          </w:p>
        </w:tc>
        <w:tc>
          <w:tcPr>
            <w:tcW w:w="547" w:type="dxa"/>
            <w:vMerge w:val="continue"/>
            <w:tcBorders>
              <w:top w:val="nil"/>
              <w:left w:val="single" w:color="auto" w:sz="4" w:space="0"/>
              <w:bottom w:val="single" w:color="auto" w:sz="4" w:space="0"/>
              <w:right w:val="single" w:color="auto" w:sz="4" w:space="0"/>
            </w:tcBorders>
            <w:vAlign w:val="center"/>
          </w:tcPr>
          <w:p w14:paraId="1E984A4C">
            <w:pPr>
              <w:spacing w:line="320" w:lineRule="exact"/>
              <w:rPr>
                <w:rFonts w:ascii="宋体"/>
                <w:kern w:val="0"/>
              </w:rPr>
            </w:pPr>
          </w:p>
        </w:tc>
        <w:tc>
          <w:tcPr>
            <w:tcW w:w="571" w:type="dxa"/>
            <w:vMerge w:val="continue"/>
            <w:tcBorders>
              <w:top w:val="nil"/>
              <w:left w:val="single" w:color="auto" w:sz="4" w:space="0"/>
              <w:bottom w:val="single" w:color="auto" w:sz="4" w:space="0"/>
              <w:right w:val="single" w:color="auto" w:sz="4" w:space="0"/>
            </w:tcBorders>
            <w:vAlign w:val="center"/>
          </w:tcPr>
          <w:p w14:paraId="5367067F">
            <w:pPr>
              <w:spacing w:line="320" w:lineRule="exact"/>
              <w:jc w:val="center"/>
              <w:rPr>
                <w:rFonts w:ascii="宋体"/>
                <w:kern w:val="0"/>
              </w:rPr>
            </w:pPr>
          </w:p>
        </w:tc>
        <w:tc>
          <w:tcPr>
            <w:tcW w:w="705" w:type="dxa"/>
            <w:tcBorders>
              <w:top w:val="single" w:color="auto" w:sz="4" w:space="0"/>
              <w:left w:val="nil"/>
              <w:bottom w:val="single" w:color="auto" w:sz="4" w:space="0"/>
              <w:right w:val="single" w:color="auto" w:sz="4" w:space="0"/>
            </w:tcBorders>
            <w:vAlign w:val="center"/>
          </w:tcPr>
          <w:p w14:paraId="32711B84">
            <w:pPr>
              <w:spacing w:line="320" w:lineRule="exact"/>
              <w:rPr>
                <w:rFonts w:ascii="宋体"/>
                <w:kern w:val="0"/>
              </w:rPr>
            </w:pPr>
            <w:r>
              <w:rPr>
                <w:rFonts w:hint="eastAsia" w:ascii="宋体" w:hAnsi="宋体" w:cs="宋体"/>
                <w:kern w:val="0"/>
              </w:rPr>
              <w:t>财务合规性</w:t>
            </w:r>
          </w:p>
        </w:tc>
        <w:tc>
          <w:tcPr>
            <w:tcW w:w="567" w:type="dxa"/>
            <w:tcBorders>
              <w:top w:val="single" w:color="auto" w:sz="4" w:space="0"/>
              <w:left w:val="nil"/>
              <w:bottom w:val="single" w:color="auto" w:sz="4" w:space="0"/>
              <w:right w:val="single" w:color="auto" w:sz="4" w:space="0"/>
            </w:tcBorders>
            <w:vAlign w:val="center"/>
          </w:tcPr>
          <w:p w14:paraId="38396794">
            <w:pPr>
              <w:spacing w:line="320" w:lineRule="exact"/>
              <w:jc w:val="center"/>
              <w:rPr>
                <w:rFonts w:ascii="宋体"/>
                <w:kern w:val="0"/>
              </w:rPr>
            </w:pPr>
            <w:r>
              <w:rPr>
                <w:rFonts w:hint="eastAsia" w:ascii="宋体" w:hAnsi="宋体" w:cs="宋体"/>
                <w:kern w:val="0"/>
              </w:rPr>
              <w:t>3</w:t>
            </w:r>
          </w:p>
        </w:tc>
        <w:tc>
          <w:tcPr>
            <w:tcW w:w="2551" w:type="dxa"/>
            <w:tcBorders>
              <w:top w:val="single" w:color="auto" w:sz="4" w:space="0"/>
              <w:left w:val="nil"/>
              <w:bottom w:val="single" w:color="auto" w:sz="4" w:space="0"/>
              <w:right w:val="single" w:color="auto" w:sz="4" w:space="0"/>
            </w:tcBorders>
            <w:vAlign w:val="center"/>
          </w:tcPr>
          <w:p w14:paraId="0D475D54">
            <w:pPr>
              <w:spacing w:line="320" w:lineRule="exact"/>
              <w:rPr>
                <w:rFonts w:ascii="宋体" w:hAnsi="宋体" w:cs="宋体"/>
                <w:kern w:val="0"/>
              </w:rPr>
            </w:pPr>
            <w:r>
              <w:rPr>
                <w:rFonts w:hint="eastAsia" w:ascii="宋体" w:hAnsi="宋体" w:cs="宋体"/>
                <w:kern w:val="0"/>
              </w:rPr>
              <w:t>部门（单位）资金支出规范性，包括资金管理、费用支出等制度是否严格执行；资金调整、调剂是否规范；会计核算是否规范、是否存在支出依据不合规、虚列项目支出的情况；是否存在截留、挤占、挪用项目资金情况。</w:t>
            </w:r>
          </w:p>
        </w:tc>
        <w:tc>
          <w:tcPr>
            <w:tcW w:w="7371" w:type="dxa"/>
            <w:tcBorders>
              <w:top w:val="single" w:color="auto" w:sz="4" w:space="0"/>
              <w:left w:val="nil"/>
              <w:bottom w:val="single" w:color="auto" w:sz="4" w:space="0"/>
              <w:right w:val="single" w:color="auto" w:sz="4" w:space="0"/>
            </w:tcBorders>
            <w:vAlign w:val="center"/>
          </w:tcPr>
          <w:p w14:paraId="05D41AB6">
            <w:pPr>
              <w:spacing w:line="300" w:lineRule="exact"/>
              <w:ind w:firstLine="420" w:firstLineChars="200"/>
              <w:rPr>
                <w:rFonts w:ascii="宋体" w:hAnsi="宋体" w:cs="宋体"/>
                <w:kern w:val="0"/>
              </w:rPr>
            </w:pPr>
            <w:r>
              <w:rPr>
                <w:rFonts w:ascii="宋体" w:hAnsi="宋体" w:cs="宋体"/>
                <w:kern w:val="0"/>
              </w:rPr>
              <w:t>1.</w:t>
            </w:r>
            <w:r>
              <w:rPr>
                <w:rFonts w:hint="eastAsia" w:ascii="宋体" w:hAnsi="宋体" w:cs="宋体"/>
                <w:kern w:val="0"/>
              </w:rPr>
              <w:t>资金支出规范性（1分）。资金管理、费用标准、支付符合有关制度规定，按事项完成进度支付资金的，得1分，否则酌情扣分。</w:t>
            </w:r>
          </w:p>
          <w:p w14:paraId="35117EA0">
            <w:pPr>
              <w:spacing w:line="300" w:lineRule="exact"/>
              <w:ind w:firstLine="420" w:firstLineChars="200"/>
              <w:rPr>
                <w:rFonts w:ascii="宋体" w:hAnsi="宋体" w:cs="宋体"/>
                <w:kern w:val="0"/>
              </w:rPr>
            </w:pPr>
            <w:r>
              <w:rPr>
                <w:rFonts w:hint="eastAsia" w:ascii="宋体" w:hAnsi="宋体" w:cs="宋体"/>
                <w:kern w:val="0"/>
              </w:rPr>
              <w:t>2.资金调整、调剂规范性（1分）。调整、调剂资金累计在本单位部门预算总规模10%以内的，得1分；超出10%的，超出一个百分点扣0.1分，直至1分扣完为止。</w:t>
            </w:r>
          </w:p>
          <w:p w14:paraId="7B33970A">
            <w:pPr>
              <w:spacing w:line="300" w:lineRule="exact"/>
              <w:ind w:firstLine="420" w:firstLineChars="200"/>
              <w:rPr>
                <w:rFonts w:ascii="宋体" w:hAnsi="宋体" w:cs="宋体"/>
                <w:kern w:val="0"/>
              </w:rPr>
            </w:pPr>
            <w:r>
              <w:rPr>
                <w:rFonts w:hint="eastAsia" w:ascii="宋体" w:hAnsi="宋体" w:cs="宋体"/>
                <w:kern w:val="0"/>
              </w:rPr>
              <w:t>3.会计核算规范性（1分）。规范执行会计核算制度得1分，未按规定设专账核算、支出凭证不符合规定或其他核算不规范，酌情扣分。</w:t>
            </w:r>
          </w:p>
          <w:p w14:paraId="05364F73">
            <w:pPr>
              <w:spacing w:line="300" w:lineRule="exact"/>
              <w:ind w:firstLine="420" w:firstLineChars="200"/>
              <w:rPr>
                <w:rFonts w:ascii="宋体" w:hAnsi="宋体" w:cs="宋体"/>
                <w:kern w:val="0"/>
              </w:rPr>
            </w:pPr>
            <w:r>
              <w:rPr>
                <w:rFonts w:hint="eastAsia" w:ascii="宋体" w:hAnsi="宋体" w:cs="宋体"/>
                <w:kern w:val="0"/>
              </w:rPr>
              <w:t>4.发生超范围、超标准支出，虚列支出，截留、挤占、挪用资金的，以及其他不符合制度规定支出，本项指标得0分。</w:t>
            </w:r>
          </w:p>
        </w:tc>
        <w:tc>
          <w:tcPr>
            <w:tcW w:w="851" w:type="dxa"/>
            <w:tcBorders>
              <w:top w:val="single" w:color="auto" w:sz="4" w:space="0"/>
              <w:left w:val="nil"/>
              <w:bottom w:val="single" w:color="auto" w:sz="4" w:space="0"/>
              <w:right w:val="single" w:color="auto" w:sz="4" w:space="0"/>
            </w:tcBorders>
            <w:vAlign w:val="center"/>
          </w:tcPr>
          <w:p w14:paraId="0F92A926">
            <w:pPr>
              <w:spacing w:line="320" w:lineRule="exact"/>
              <w:ind w:firstLine="200" w:firstLineChars="100"/>
              <w:rPr>
                <w:rFonts w:ascii="宋体" w:hAnsi="宋体" w:cs="宋体"/>
                <w:kern w:val="0"/>
                <w:sz w:val="20"/>
                <w:szCs w:val="22"/>
              </w:rPr>
            </w:pPr>
            <w:r>
              <w:rPr>
                <w:rFonts w:hint="eastAsia" w:ascii="宋体" w:hAnsi="宋体" w:cs="宋体"/>
                <w:color w:val="FF0000"/>
                <w:kern w:val="0"/>
                <w:sz w:val="20"/>
                <w:szCs w:val="22"/>
              </w:rPr>
              <w:t>2</w:t>
            </w:r>
          </w:p>
        </w:tc>
      </w:tr>
      <w:tr w14:paraId="1A21C33B">
        <w:tblPrEx>
          <w:tblCellMar>
            <w:top w:w="0" w:type="dxa"/>
            <w:left w:w="108" w:type="dxa"/>
            <w:bottom w:w="0" w:type="dxa"/>
            <w:right w:w="108" w:type="dxa"/>
          </w:tblCellMar>
        </w:tblPrEx>
        <w:trPr>
          <w:trHeight w:val="2254" w:hRule="atLeast"/>
        </w:trPr>
        <w:tc>
          <w:tcPr>
            <w:tcW w:w="577" w:type="dxa"/>
            <w:vMerge w:val="continue"/>
            <w:tcBorders>
              <w:top w:val="nil"/>
              <w:left w:val="single" w:color="auto" w:sz="4" w:space="0"/>
              <w:bottom w:val="single" w:color="auto" w:sz="4" w:space="0"/>
              <w:right w:val="single" w:color="auto" w:sz="4" w:space="0"/>
            </w:tcBorders>
            <w:vAlign w:val="center"/>
          </w:tcPr>
          <w:p w14:paraId="468CFCDA">
            <w:pPr>
              <w:spacing w:line="320" w:lineRule="exact"/>
              <w:rPr>
                <w:rFonts w:ascii="宋体"/>
                <w:kern w:val="0"/>
              </w:rPr>
            </w:pPr>
          </w:p>
        </w:tc>
        <w:tc>
          <w:tcPr>
            <w:tcW w:w="508" w:type="dxa"/>
            <w:vMerge w:val="continue"/>
            <w:tcBorders>
              <w:top w:val="nil"/>
              <w:left w:val="single" w:color="auto" w:sz="4" w:space="0"/>
              <w:bottom w:val="single" w:color="auto" w:sz="4" w:space="0"/>
              <w:right w:val="single" w:color="auto" w:sz="4" w:space="0"/>
            </w:tcBorders>
            <w:vAlign w:val="center"/>
          </w:tcPr>
          <w:p w14:paraId="29CD0187">
            <w:pPr>
              <w:spacing w:line="320" w:lineRule="exact"/>
              <w:rPr>
                <w:rFonts w:ascii="宋体"/>
                <w:kern w:val="0"/>
              </w:rPr>
            </w:pPr>
          </w:p>
        </w:tc>
        <w:tc>
          <w:tcPr>
            <w:tcW w:w="547" w:type="dxa"/>
            <w:vMerge w:val="continue"/>
            <w:tcBorders>
              <w:top w:val="nil"/>
              <w:left w:val="single" w:color="auto" w:sz="4" w:space="0"/>
              <w:bottom w:val="single" w:color="auto" w:sz="4" w:space="0"/>
              <w:right w:val="single" w:color="auto" w:sz="4" w:space="0"/>
            </w:tcBorders>
            <w:vAlign w:val="center"/>
          </w:tcPr>
          <w:p w14:paraId="38C052B6">
            <w:pPr>
              <w:spacing w:line="320" w:lineRule="exact"/>
              <w:rPr>
                <w:rFonts w:ascii="宋体"/>
                <w:kern w:val="0"/>
              </w:rPr>
            </w:pPr>
          </w:p>
        </w:tc>
        <w:tc>
          <w:tcPr>
            <w:tcW w:w="571" w:type="dxa"/>
            <w:vMerge w:val="continue"/>
            <w:tcBorders>
              <w:top w:val="nil"/>
              <w:left w:val="single" w:color="auto" w:sz="4" w:space="0"/>
              <w:bottom w:val="single" w:color="auto" w:sz="4" w:space="0"/>
              <w:right w:val="single" w:color="auto" w:sz="4" w:space="0"/>
            </w:tcBorders>
            <w:vAlign w:val="center"/>
          </w:tcPr>
          <w:p w14:paraId="4531F293">
            <w:pPr>
              <w:spacing w:line="320" w:lineRule="exact"/>
              <w:jc w:val="center"/>
              <w:rPr>
                <w:rFonts w:ascii="宋体"/>
                <w:kern w:val="0"/>
              </w:rPr>
            </w:pPr>
          </w:p>
        </w:tc>
        <w:tc>
          <w:tcPr>
            <w:tcW w:w="705" w:type="dxa"/>
            <w:tcBorders>
              <w:top w:val="nil"/>
              <w:left w:val="nil"/>
              <w:bottom w:val="single" w:color="auto" w:sz="4" w:space="0"/>
              <w:right w:val="single" w:color="auto" w:sz="4" w:space="0"/>
            </w:tcBorders>
            <w:vAlign w:val="center"/>
          </w:tcPr>
          <w:p w14:paraId="2833BECE">
            <w:pPr>
              <w:spacing w:line="320" w:lineRule="exact"/>
              <w:rPr>
                <w:rFonts w:ascii="宋体"/>
                <w:kern w:val="0"/>
              </w:rPr>
            </w:pPr>
            <w:r>
              <w:rPr>
                <w:rFonts w:hint="eastAsia" w:ascii="宋体" w:hAnsi="宋体" w:cs="宋体"/>
                <w:kern w:val="0"/>
              </w:rPr>
              <w:t>预决算信息公开</w:t>
            </w:r>
          </w:p>
        </w:tc>
        <w:tc>
          <w:tcPr>
            <w:tcW w:w="567" w:type="dxa"/>
            <w:tcBorders>
              <w:top w:val="nil"/>
              <w:left w:val="nil"/>
              <w:bottom w:val="single" w:color="auto" w:sz="4" w:space="0"/>
              <w:right w:val="single" w:color="auto" w:sz="4" w:space="0"/>
            </w:tcBorders>
            <w:vAlign w:val="center"/>
          </w:tcPr>
          <w:p w14:paraId="642BB0A9">
            <w:pPr>
              <w:spacing w:line="320" w:lineRule="exact"/>
              <w:jc w:val="center"/>
              <w:rPr>
                <w:rFonts w:ascii="宋体"/>
                <w:kern w:val="0"/>
              </w:rPr>
            </w:pPr>
            <w:r>
              <w:rPr>
                <w:rFonts w:hint="eastAsia" w:ascii="宋体" w:hAnsi="宋体" w:cs="宋体"/>
                <w:kern w:val="0"/>
              </w:rPr>
              <w:t>3</w:t>
            </w:r>
          </w:p>
        </w:tc>
        <w:tc>
          <w:tcPr>
            <w:tcW w:w="2551" w:type="dxa"/>
            <w:tcBorders>
              <w:top w:val="nil"/>
              <w:left w:val="nil"/>
              <w:bottom w:val="single" w:color="auto" w:sz="4" w:space="0"/>
              <w:right w:val="single" w:color="auto" w:sz="4" w:space="0"/>
            </w:tcBorders>
            <w:vAlign w:val="center"/>
          </w:tcPr>
          <w:p w14:paraId="7B253CB3">
            <w:pPr>
              <w:spacing w:line="320" w:lineRule="exact"/>
              <w:rPr>
                <w:rFonts w:ascii="宋体"/>
                <w:kern w:val="0"/>
              </w:rPr>
            </w:pPr>
            <w:r>
              <w:rPr>
                <w:rFonts w:hint="eastAsia" w:ascii="宋体" w:hAnsi="宋体" w:cs="宋体"/>
                <w:kern w:val="0"/>
              </w:rPr>
              <w:t>部门（单位）在被评价年度是否按照政府信息公开有关规定公开相关预决算信息，用以反映部门（单位）预决算管理的公开透明情况。</w:t>
            </w:r>
          </w:p>
        </w:tc>
        <w:tc>
          <w:tcPr>
            <w:tcW w:w="7371" w:type="dxa"/>
            <w:tcBorders>
              <w:top w:val="nil"/>
              <w:left w:val="nil"/>
              <w:bottom w:val="single" w:color="auto" w:sz="4" w:space="0"/>
              <w:right w:val="single" w:color="auto" w:sz="4" w:space="0"/>
            </w:tcBorders>
            <w:vAlign w:val="center"/>
          </w:tcPr>
          <w:p w14:paraId="5E96A226">
            <w:pPr>
              <w:spacing w:line="300" w:lineRule="exact"/>
              <w:ind w:firstLine="420" w:firstLineChars="200"/>
              <w:rPr>
                <w:rFonts w:ascii="宋体" w:hAnsi="宋体" w:cs="宋体"/>
                <w:kern w:val="0"/>
              </w:rPr>
            </w:pPr>
            <w:r>
              <w:rPr>
                <w:rFonts w:ascii="宋体" w:hAnsi="宋体" w:cs="宋体"/>
                <w:kern w:val="0"/>
              </w:rPr>
              <w:t>1.</w:t>
            </w:r>
            <w:r>
              <w:rPr>
                <w:rFonts w:hint="eastAsia" w:ascii="宋体" w:hAnsi="宋体" w:cs="宋体"/>
                <w:kern w:val="0"/>
              </w:rPr>
              <w:t>部门预算公开（1.5分），按以下标准分档计分：</w:t>
            </w:r>
          </w:p>
          <w:p w14:paraId="53D78736">
            <w:pPr>
              <w:spacing w:line="300" w:lineRule="exact"/>
              <w:ind w:firstLine="420" w:firstLineChars="200"/>
              <w:rPr>
                <w:rFonts w:ascii="宋体" w:hAnsi="宋体" w:cs="宋体"/>
                <w:kern w:val="0"/>
              </w:rPr>
            </w:pPr>
            <w:r>
              <w:rPr>
                <w:rFonts w:hint="eastAsia" w:ascii="宋体" w:hAnsi="宋体" w:cs="宋体"/>
                <w:kern w:val="0"/>
              </w:rPr>
              <w:t>（</w:t>
            </w:r>
            <w:r>
              <w:rPr>
                <w:rFonts w:ascii="宋体" w:hAnsi="宋体" w:cs="宋体"/>
                <w:kern w:val="0"/>
              </w:rPr>
              <w:t>1</w:t>
            </w:r>
            <w:r>
              <w:rPr>
                <w:rFonts w:hint="eastAsia" w:ascii="宋体" w:hAnsi="宋体" w:cs="宋体"/>
                <w:kern w:val="0"/>
              </w:rPr>
              <w:t>）按规定内容、时限、范围等各项要求进行公开的，得1.5分。</w:t>
            </w:r>
          </w:p>
          <w:p w14:paraId="0E6B02AE">
            <w:pPr>
              <w:spacing w:line="300" w:lineRule="exact"/>
              <w:ind w:firstLine="420" w:firstLineChars="200"/>
              <w:rPr>
                <w:rFonts w:ascii="宋体" w:hAnsi="宋体" w:cs="宋体"/>
                <w:kern w:val="0"/>
              </w:rPr>
            </w:pPr>
            <w:r>
              <w:rPr>
                <w:rFonts w:hint="eastAsia" w:ascii="宋体" w:hAnsi="宋体" w:cs="宋体"/>
                <w:kern w:val="0"/>
              </w:rPr>
              <w:t>（</w:t>
            </w:r>
            <w:r>
              <w:rPr>
                <w:rFonts w:ascii="宋体" w:hAnsi="宋体" w:cs="宋体"/>
                <w:kern w:val="0"/>
              </w:rPr>
              <w:t>2</w:t>
            </w:r>
            <w:r>
              <w:rPr>
                <w:rFonts w:hint="eastAsia" w:ascii="宋体" w:hAnsi="宋体" w:cs="宋体"/>
                <w:kern w:val="0"/>
              </w:rPr>
              <w:t>）进行了公开，存在不符合时限、内容、范围等要求的，得</w:t>
            </w:r>
            <w:r>
              <w:rPr>
                <w:rFonts w:ascii="宋体" w:hAnsi="宋体" w:cs="宋体"/>
                <w:kern w:val="0"/>
              </w:rPr>
              <w:t>1</w:t>
            </w:r>
            <w:r>
              <w:rPr>
                <w:rFonts w:hint="eastAsia" w:ascii="宋体" w:hAnsi="宋体" w:cs="宋体"/>
                <w:kern w:val="0"/>
              </w:rPr>
              <w:t>分。</w:t>
            </w:r>
          </w:p>
          <w:p w14:paraId="3A527B71">
            <w:pPr>
              <w:spacing w:line="300" w:lineRule="exact"/>
              <w:ind w:firstLine="420" w:firstLineChars="200"/>
              <w:rPr>
                <w:rFonts w:ascii="宋体" w:hAnsi="宋体" w:cs="宋体"/>
                <w:kern w:val="0"/>
              </w:rPr>
            </w:pPr>
            <w:r>
              <w:rPr>
                <w:rFonts w:hint="eastAsia" w:ascii="宋体" w:hAnsi="宋体" w:cs="宋体"/>
                <w:kern w:val="0"/>
              </w:rPr>
              <w:t>（</w:t>
            </w:r>
            <w:r>
              <w:rPr>
                <w:rFonts w:ascii="宋体" w:hAnsi="宋体" w:cs="宋体"/>
                <w:kern w:val="0"/>
              </w:rPr>
              <w:t>3</w:t>
            </w:r>
            <w:r>
              <w:rPr>
                <w:rFonts w:hint="eastAsia" w:ascii="宋体" w:hAnsi="宋体" w:cs="宋体"/>
                <w:kern w:val="0"/>
              </w:rPr>
              <w:t>）没有进行公开的，得</w:t>
            </w:r>
            <w:r>
              <w:rPr>
                <w:rFonts w:ascii="宋体" w:hAnsi="宋体" w:cs="宋体"/>
                <w:kern w:val="0"/>
              </w:rPr>
              <w:t>0</w:t>
            </w:r>
            <w:r>
              <w:rPr>
                <w:rFonts w:hint="eastAsia" w:ascii="宋体" w:hAnsi="宋体" w:cs="宋体"/>
                <w:kern w:val="0"/>
              </w:rPr>
              <w:t>分。</w:t>
            </w:r>
          </w:p>
          <w:p w14:paraId="09567AAA">
            <w:pPr>
              <w:spacing w:line="300" w:lineRule="exact"/>
              <w:ind w:firstLine="420" w:firstLineChars="200"/>
              <w:rPr>
                <w:rFonts w:ascii="宋体" w:hAnsi="宋体" w:cs="宋体"/>
                <w:kern w:val="0"/>
              </w:rPr>
            </w:pPr>
            <w:r>
              <w:rPr>
                <w:rFonts w:ascii="宋体" w:hAnsi="宋体" w:cs="宋体"/>
                <w:kern w:val="0"/>
              </w:rPr>
              <w:t>2.</w:t>
            </w:r>
            <w:r>
              <w:rPr>
                <w:rFonts w:hint="eastAsia" w:ascii="宋体" w:hAnsi="宋体" w:cs="宋体"/>
                <w:kern w:val="0"/>
              </w:rPr>
              <w:t>部门决算公开（1.5分），按以下标准分档计分：</w:t>
            </w:r>
          </w:p>
          <w:p w14:paraId="55AC92B7">
            <w:pPr>
              <w:spacing w:line="300" w:lineRule="exact"/>
              <w:ind w:firstLine="420" w:firstLineChars="200"/>
              <w:rPr>
                <w:rFonts w:ascii="宋体" w:hAnsi="宋体" w:cs="宋体"/>
                <w:kern w:val="0"/>
              </w:rPr>
            </w:pPr>
            <w:r>
              <w:rPr>
                <w:rFonts w:hint="eastAsia" w:ascii="宋体" w:hAnsi="宋体" w:cs="宋体"/>
                <w:kern w:val="0"/>
              </w:rPr>
              <w:t>（</w:t>
            </w:r>
            <w:r>
              <w:rPr>
                <w:rFonts w:ascii="宋体" w:hAnsi="宋体" w:cs="宋体"/>
                <w:kern w:val="0"/>
              </w:rPr>
              <w:t>1</w:t>
            </w:r>
            <w:r>
              <w:rPr>
                <w:rFonts w:hint="eastAsia" w:ascii="宋体" w:hAnsi="宋体" w:cs="宋体"/>
                <w:kern w:val="0"/>
              </w:rPr>
              <w:t>）按规定内容、时限、范围等各项要求进行公开的，得1.5分。</w:t>
            </w:r>
          </w:p>
          <w:p w14:paraId="588550D8">
            <w:pPr>
              <w:spacing w:line="300" w:lineRule="exact"/>
              <w:ind w:firstLine="420" w:firstLineChars="200"/>
              <w:rPr>
                <w:rFonts w:ascii="宋体" w:hAnsi="宋体" w:cs="宋体"/>
                <w:kern w:val="0"/>
              </w:rPr>
            </w:pPr>
            <w:r>
              <w:rPr>
                <w:rFonts w:hint="eastAsia" w:ascii="宋体" w:hAnsi="宋体" w:cs="宋体"/>
                <w:kern w:val="0"/>
              </w:rPr>
              <w:t>（</w:t>
            </w:r>
            <w:r>
              <w:rPr>
                <w:rFonts w:ascii="宋体" w:hAnsi="宋体" w:cs="宋体"/>
                <w:kern w:val="0"/>
              </w:rPr>
              <w:t>2</w:t>
            </w:r>
            <w:r>
              <w:rPr>
                <w:rFonts w:hint="eastAsia" w:ascii="宋体" w:hAnsi="宋体" w:cs="宋体"/>
                <w:kern w:val="0"/>
              </w:rPr>
              <w:t>）进行了公开，存在不符合时限、内容、范围等要求的，得</w:t>
            </w:r>
            <w:r>
              <w:rPr>
                <w:rFonts w:ascii="宋体" w:hAnsi="宋体" w:cs="宋体"/>
                <w:kern w:val="0"/>
              </w:rPr>
              <w:t>1</w:t>
            </w:r>
            <w:r>
              <w:rPr>
                <w:rFonts w:hint="eastAsia" w:ascii="宋体" w:hAnsi="宋体" w:cs="宋体"/>
                <w:kern w:val="0"/>
              </w:rPr>
              <w:t>分。</w:t>
            </w:r>
          </w:p>
          <w:p w14:paraId="0D7B4A8F">
            <w:pPr>
              <w:spacing w:line="300" w:lineRule="exact"/>
              <w:ind w:firstLine="420" w:firstLineChars="200"/>
              <w:rPr>
                <w:rFonts w:ascii="宋体" w:hAnsi="宋体" w:cs="宋体"/>
                <w:kern w:val="0"/>
              </w:rPr>
            </w:pPr>
            <w:r>
              <w:rPr>
                <w:rFonts w:hint="eastAsia" w:ascii="宋体" w:hAnsi="宋体" w:cs="宋体"/>
                <w:kern w:val="0"/>
              </w:rPr>
              <w:t>（</w:t>
            </w:r>
            <w:r>
              <w:rPr>
                <w:rFonts w:ascii="宋体" w:hAnsi="宋体" w:cs="宋体"/>
                <w:kern w:val="0"/>
              </w:rPr>
              <w:t>3</w:t>
            </w:r>
            <w:r>
              <w:rPr>
                <w:rFonts w:hint="eastAsia" w:ascii="宋体" w:hAnsi="宋体" w:cs="宋体"/>
                <w:kern w:val="0"/>
              </w:rPr>
              <w:t>）没有进行公开的，得</w:t>
            </w:r>
            <w:r>
              <w:rPr>
                <w:rFonts w:ascii="宋体" w:hAnsi="宋体" w:cs="宋体"/>
                <w:kern w:val="0"/>
              </w:rPr>
              <w:t>0</w:t>
            </w:r>
            <w:r>
              <w:rPr>
                <w:rFonts w:hint="eastAsia" w:ascii="宋体" w:hAnsi="宋体" w:cs="宋体"/>
                <w:kern w:val="0"/>
              </w:rPr>
              <w:t>分。</w:t>
            </w:r>
          </w:p>
          <w:p w14:paraId="4DE80C7E">
            <w:pPr>
              <w:spacing w:line="300" w:lineRule="exact"/>
              <w:ind w:firstLine="420" w:firstLineChars="200"/>
              <w:rPr>
                <w:rFonts w:ascii="宋体" w:hAnsi="宋体" w:cs="宋体"/>
                <w:kern w:val="0"/>
              </w:rPr>
            </w:pPr>
            <w:r>
              <w:rPr>
                <w:rFonts w:hint="eastAsia" w:ascii="宋体" w:hAnsi="宋体" w:cs="宋体"/>
                <w:kern w:val="0"/>
              </w:rPr>
              <w:t>3.涉密部门（单位）按规定不需要公开相关预决算信息的直接得分。</w:t>
            </w:r>
          </w:p>
        </w:tc>
        <w:tc>
          <w:tcPr>
            <w:tcW w:w="851" w:type="dxa"/>
            <w:tcBorders>
              <w:top w:val="nil"/>
              <w:left w:val="nil"/>
              <w:bottom w:val="single" w:color="auto" w:sz="4" w:space="0"/>
              <w:right w:val="single" w:color="auto" w:sz="4" w:space="0"/>
            </w:tcBorders>
            <w:vAlign w:val="center"/>
          </w:tcPr>
          <w:p w14:paraId="5A340E9F">
            <w:pPr>
              <w:spacing w:line="320" w:lineRule="exact"/>
              <w:jc w:val="center"/>
              <w:rPr>
                <w:rFonts w:ascii="宋体" w:hAnsi="宋体" w:cs="宋体"/>
                <w:kern w:val="0"/>
              </w:rPr>
            </w:pPr>
            <w:r>
              <w:rPr>
                <w:rFonts w:hint="eastAsia" w:ascii="宋体" w:hAnsi="宋体" w:cs="宋体"/>
                <w:kern w:val="0"/>
              </w:rPr>
              <w:t>3</w:t>
            </w:r>
          </w:p>
        </w:tc>
      </w:tr>
      <w:tr w14:paraId="38671006">
        <w:tblPrEx>
          <w:tblCellMar>
            <w:top w:w="0" w:type="dxa"/>
            <w:left w:w="108" w:type="dxa"/>
            <w:bottom w:w="0" w:type="dxa"/>
            <w:right w:w="108" w:type="dxa"/>
          </w:tblCellMar>
        </w:tblPrEx>
        <w:trPr>
          <w:trHeight w:val="1491" w:hRule="atLeast"/>
        </w:trPr>
        <w:tc>
          <w:tcPr>
            <w:tcW w:w="577" w:type="dxa"/>
            <w:vMerge w:val="continue"/>
            <w:tcBorders>
              <w:top w:val="nil"/>
              <w:left w:val="single" w:color="auto" w:sz="4" w:space="0"/>
              <w:bottom w:val="single" w:color="auto" w:sz="4" w:space="0"/>
              <w:right w:val="single" w:color="auto" w:sz="4" w:space="0"/>
            </w:tcBorders>
            <w:vAlign w:val="center"/>
          </w:tcPr>
          <w:p w14:paraId="1C4B5D44">
            <w:pPr>
              <w:spacing w:line="320" w:lineRule="exact"/>
              <w:rPr>
                <w:rFonts w:ascii="宋体"/>
                <w:kern w:val="0"/>
              </w:rPr>
            </w:pPr>
          </w:p>
        </w:tc>
        <w:tc>
          <w:tcPr>
            <w:tcW w:w="508" w:type="dxa"/>
            <w:vMerge w:val="continue"/>
            <w:tcBorders>
              <w:top w:val="nil"/>
              <w:left w:val="single" w:color="auto" w:sz="4" w:space="0"/>
              <w:bottom w:val="single" w:color="auto" w:sz="4" w:space="0"/>
              <w:right w:val="single" w:color="auto" w:sz="4" w:space="0"/>
            </w:tcBorders>
            <w:vAlign w:val="center"/>
          </w:tcPr>
          <w:p w14:paraId="1245C156">
            <w:pPr>
              <w:spacing w:line="320" w:lineRule="exact"/>
              <w:rPr>
                <w:rFonts w:ascii="宋体"/>
                <w:kern w:val="0"/>
              </w:rPr>
            </w:pPr>
          </w:p>
        </w:tc>
        <w:tc>
          <w:tcPr>
            <w:tcW w:w="547" w:type="dxa"/>
            <w:vMerge w:val="restart"/>
            <w:tcBorders>
              <w:top w:val="nil"/>
              <w:left w:val="single" w:color="auto" w:sz="4" w:space="0"/>
              <w:bottom w:val="single" w:color="auto" w:sz="4" w:space="0"/>
              <w:right w:val="single" w:color="auto" w:sz="4" w:space="0"/>
            </w:tcBorders>
            <w:vAlign w:val="center"/>
          </w:tcPr>
          <w:p w14:paraId="1916CC99">
            <w:pPr>
              <w:spacing w:line="320" w:lineRule="exact"/>
              <w:rPr>
                <w:rFonts w:ascii="宋体"/>
                <w:kern w:val="0"/>
              </w:rPr>
            </w:pPr>
            <w:r>
              <w:rPr>
                <w:rFonts w:hint="eastAsia" w:ascii="宋体" w:hAnsi="宋体" w:cs="宋体"/>
                <w:kern w:val="0"/>
              </w:rPr>
              <w:t>项目管理</w:t>
            </w:r>
          </w:p>
        </w:tc>
        <w:tc>
          <w:tcPr>
            <w:tcW w:w="571" w:type="dxa"/>
            <w:vMerge w:val="restart"/>
            <w:tcBorders>
              <w:top w:val="nil"/>
              <w:left w:val="single" w:color="auto" w:sz="4" w:space="0"/>
              <w:bottom w:val="single" w:color="auto" w:sz="4" w:space="0"/>
              <w:right w:val="single" w:color="auto" w:sz="4" w:space="0"/>
            </w:tcBorders>
            <w:vAlign w:val="center"/>
          </w:tcPr>
          <w:p w14:paraId="1AB3C095">
            <w:pPr>
              <w:spacing w:line="320" w:lineRule="exact"/>
              <w:jc w:val="center"/>
              <w:rPr>
                <w:rFonts w:ascii="宋体"/>
                <w:kern w:val="0"/>
              </w:rPr>
            </w:pPr>
            <w:r>
              <w:rPr>
                <w:rFonts w:hint="eastAsia" w:ascii="宋体" w:hAnsi="宋体" w:cs="宋体"/>
                <w:kern w:val="0"/>
              </w:rPr>
              <w:t>4</w:t>
            </w:r>
          </w:p>
        </w:tc>
        <w:tc>
          <w:tcPr>
            <w:tcW w:w="705" w:type="dxa"/>
            <w:tcBorders>
              <w:top w:val="nil"/>
              <w:left w:val="nil"/>
              <w:bottom w:val="single" w:color="auto" w:sz="4" w:space="0"/>
              <w:right w:val="single" w:color="auto" w:sz="4" w:space="0"/>
            </w:tcBorders>
            <w:vAlign w:val="center"/>
          </w:tcPr>
          <w:p w14:paraId="7CEFD40A">
            <w:pPr>
              <w:spacing w:line="320" w:lineRule="exact"/>
              <w:rPr>
                <w:rFonts w:ascii="宋体"/>
                <w:kern w:val="0"/>
              </w:rPr>
            </w:pPr>
            <w:r>
              <w:rPr>
                <w:rFonts w:hint="eastAsia" w:ascii="宋体" w:hAnsi="宋体" w:cs="宋体"/>
                <w:kern w:val="0"/>
              </w:rPr>
              <w:t>项目实施程序</w:t>
            </w:r>
          </w:p>
        </w:tc>
        <w:tc>
          <w:tcPr>
            <w:tcW w:w="567" w:type="dxa"/>
            <w:tcBorders>
              <w:top w:val="nil"/>
              <w:left w:val="nil"/>
              <w:bottom w:val="single" w:color="auto" w:sz="4" w:space="0"/>
              <w:right w:val="single" w:color="auto" w:sz="4" w:space="0"/>
            </w:tcBorders>
            <w:vAlign w:val="center"/>
          </w:tcPr>
          <w:p w14:paraId="17A68184">
            <w:pPr>
              <w:spacing w:line="320" w:lineRule="exact"/>
              <w:jc w:val="center"/>
              <w:rPr>
                <w:rFonts w:ascii="宋体"/>
                <w:kern w:val="0"/>
              </w:rPr>
            </w:pPr>
            <w:r>
              <w:rPr>
                <w:rFonts w:ascii="宋体" w:hAnsi="宋体" w:cs="宋体"/>
                <w:kern w:val="0"/>
              </w:rPr>
              <w:t>2</w:t>
            </w:r>
          </w:p>
        </w:tc>
        <w:tc>
          <w:tcPr>
            <w:tcW w:w="2551" w:type="dxa"/>
            <w:tcBorders>
              <w:top w:val="nil"/>
              <w:left w:val="nil"/>
              <w:bottom w:val="single" w:color="auto" w:sz="4" w:space="0"/>
              <w:right w:val="single" w:color="auto" w:sz="4" w:space="0"/>
            </w:tcBorders>
            <w:vAlign w:val="center"/>
          </w:tcPr>
          <w:p w14:paraId="69C35E6C">
            <w:pPr>
              <w:spacing w:line="320" w:lineRule="exact"/>
              <w:rPr>
                <w:rFonts w:ascii="宋体"/>
                <w:kern w:val="0"/>
              </w:rPr>
            </w:pPr>
            <w:r>
              <w:rPr>
                <w:rFonts w:hint="eastAsia" w:ascii="宋体" w:hAnsi="宋体" w:cs="宋体"/>
                <w:kern w:val="0"/>
              </w:rPr>
              <w:t>部门（单位）所有项目支出实施过程是否规范</w:t>
            </w:r>
            <w:r>
              <w:rPr>
                <w:rFonts w:ascii="宋体" w:cs="宋体"/>
                <w:kern w:val="0"/>
              </w:rPr>
              <w:t>,</w:t>
            </w:r>
            <w:r>
              <w:rPr>
                <w:rFonts w:hint="eastAsia" w:ascii="宋体" w:hAnsi="宋体" w:cs="宋体"/>
                <w:kern w:val="0"/>
              </w:rPr>
              <w:t>包括是否符合申报条件；申报、批复程序是否符合相关管理办法；项目招投标、调整、完成验收等是否履行相应手续等。</w:t>
            </w:r>
          </w:p>
        </w:tc>
        <w:tc>
          <w:tcPr>
            <w:tcW w:w="7371" w:type="dxa"/>
            <w:tcBorders>
              <w:top w:val="nil"/>
              <w:left w:val="nil"/>
              <w:bottom w:val="single" w:color="auto" w:sz="4" w:space="0"/>
              <w:right w:val="single" w:color="auto" w:sz="4" w:space="0"/>
            </w:tcBorders>
            <w:vAlign w:val="center"/>
          </w:tcPr>
          <w:p w14:paraId="070A3B4A">
            <w:pPr>
              <w:spacing w:line="300" w:lineRule="exact"/>
              <w:ind w:firstLine="420" w:firstLineChars="200"/>
              <w:rPr>
                <w:rFonts w:ascii="宋体" w:hAnsi="宋体" w:cs="宋体"/>
                <w:kern w:val="0"/>
              </w:rPr>
            </w:pPr>
            <w:r>
              <w:rPr>
                <w:rFonts w:ascii="宋体" w:hAnsi="宋体" w:cs="宋体"/>
                <w:kern w:val="0"/>
              </w:rPr>
              <w:t>1.</w:t>
            </w:r>
            <w:r>
              <w:rPr>
                <w:rFonts w:hint="eastAsia" w:ascii="宋体" w:hAnsi="宋体" w:cs="宋体"/>
                <w:kern w:val="0"/>
              </w:rPr>
              <w:t>项目的设立、调整按规定履行报批程序（</w:t>
            </w:r>
            <w:r>
              <w:rPr>
                <w:rFonts w:ascii="宋体" w:hAnsi="宋体" w:cs="宋体"/>
                <w:kern w:val="0"/>
              </w:rPr>
              <w:t>1</w:t>
            </w:r>
            <w:r>
              <w:rPr>
                <w:rFonts w:hint="eastAsia" w:ascii="宋体" w:hAnsi="宋体" w:cs="宋体"/>
                <w:kern w:val="0"/>
              </w:rPr>
              <w:t>分）；</w:t>
            </w:r>
          </w:p>
          <w:p w14:paraId="2E91487F">
            <w:pPr>
              <w:spacing w:line="300" w:lineRule="exact"/>
              <w:ind w:firstLine="420" w:firstLineChars="200"/>
              <w:rPr>
                <w:rFonts w:ascii="宋体" w:hAnsi="宋体" w:cs="宋体"/>
                <w:kern w:val="0"/>
              </w:rPr>
            </w:pPr>
            <w:r>
              <w:rPr>
                <w:rFonts w:ascii="宋体" w:hAnsi="宋体" w:cs="宋体"/>
                <w:kern w:val="0"/>
              </w:rPr>
              <w:t>2.</w:t>
            </w:r>
            <w:r>
              <w:rPr>
                <w:rFonts w:hint="eastAsia" w:ascii="宋体" w:hAnsi="宋体" w:cs="宋体"/>
                <w:kern w:val="0"/>
              </w:rPr>
              <w:t>项目招投标、建设、验收以及方案实施均严格执行相关制度规定（</w:t>
            </w:r>
            <w:r>
              <w:rPr>
                <w:rFonts w:ascii="宋体" w:hAnsi="宋体" w:cs="宋体"/>
                <w:kern w:val="0"/>
              </w:rPr>
              <w:t>1</w:t>
            </w:r>
            <w:r>
              <w:rPr>
                <w:rFonts w:hint="eastAsia" w:ascii="宋体" w:hAnsi="宋体" w:cs="宋体"/>
                <w:kern w:val="0"/>
              </w:rPr>
              <w:t>分）。</w:t>
            </w:r>
          </w:p>
        </w:tc>
        <w:tc>
          <w:tcPr>
            <w:tcW w:w="851" w:type="dxa"/>
            <w:tcBorders>
              <w:top w:val="nil"/>
              <w:left w:val="nil"/>
              <w:bottom w:val="single" w:color="auto" w:sz="4" w:space="0"/>
              <w:right w:val="single" w:color="auto" w:sz="4" w:space="0"/>
            </w:tcBorders>
            <w:vAlign w:val="center"/>
          </w:tcPr>
          <w:p w14:paraId="1696F5F9">
            <w:pPr>
              <w:spacing w:line="320" w:lineRule="exact"/>
              <w:jc w:val="center"/>
              <w:rPr>
                <w:rFonts w:ascii="宋体" w:hAnsi="宋体" w:cs="宋体"/>
                <w:kern w:val="0"/>
              </w:rPr>
            </w:pPr>
            <w:r>
              <w:rPr>
                <w:rFonts w:hint="eastAsia" w:ascii="宋体" w:hAnsi="宋体" w:cs="宋体"/>
                <w:kern w:val="0"/>
              </w:rPr>
              <w:t>2</w:t>
            </w:r>
          </w:p>
        </w:tc>
      </w:tr>
      <w:tr w14:paraId="78B444C3">
        <w:tblPrEx>
          <w:tblCellMar>
            <w:top w:w="0" w:type="dxa"/>
            <w:left w:w="108" w:type="dxa"/>
            <w:bottom w:w="0" w:type="dxa"/>
            <w:right w:w="108" w:type="dxa"/>
          </w:tblCellMar>
        </w:tblPrEx>
        <w:trPr>
          <w:trHeight w:val="1527" w:hRule="atLeast"/>
        </w:trPr>
        <w:tc>
          <w:tcPr>
            <w:tcW w:w="577" w:type="dxa"/>
            <w:vMerge w:val="continue"/>
            <w:tcBorders>
              <w:top w:val="nil"/>
              <w:left w:val="single" w:color="auto" w:sz="4" w:space="0"/>
              <w:bottom w:val="single" w:color="auto" w:sz="4" w:space="0"/>
              <w:right w:val="single" w:color="auto" w:sz="4" w:space="0"/>
            </w:tcBorders>
            <w:vAlign w:val="center"/>
          </w:tcPr>
          <w:p w14:paraId="64DE835B">
            <w:pPr>
              <w:spacing w:line="320" w:lineRule="exact"/>
              <w:rPr>
                <w:rFonts w:ascii="宋体"/>
                <w:kern w:val="0"/>
              </w:rPr>
            </w:pPr>
          </w:p>
        </w:tc>
        <w:tc>
          <w:tcPr>
            <w:tcW w:w="508" w:type="dxa"/>
            <w:vMerge w:val="continue"/>
            <w:tcBorders>
              <w:top w:val="nil"/>
              <w:left w:val="single" w:color="auto" w:sz="4" w:space="0"/>
              <w:bottom w:val="single" w:color="auto" w:sz="4" w:space="0"/>
              <w:right w:val="single" w:color="auto" w:sz="4" w:space="0"/>
            </w:tcBorders>
            <w:vAlign w:val="center"/>
          </w:tcPr>
          <w:p w14:paraId="47621758">
            <w:pPr>
              <w:spacing w:line="320" w:lineRule="exact"/>
              <w:rPr>
                <w:rFonts w:ascii="宋体"/>
                <w:kern w:val="0"/>
              </w:rPr>
            </w:pPr>
          </w:p>
        </w:tc>
        <w:tc>
          <w:tcPr>
            <w:tcW w:w="547" w:type="dxa"/>
            <w:vMerge w:val="continue"/>
            <w:tcBorders>
              <w:top w:val="nil"/>
              <w:left w:val="single" w:color="auto" w:sz="4" w:space="0"/>
              <w:bottom w:val="single" w:color="auto" w:sz="4" w:space="0"/>
              <w:right w:val="single" w:color="auto" w:sz="4" w:space="0"/>
            </w:tcBorders>
            <w:vAlign w:val="center"/>
          </w:tcPr>
          <w:p w14:paraId="19266A48">
            <w:pPr>
              <w:spacing w:line="320" w:lineRule="exact"/>
              <w:rPr>
                <w:rFonts w:ascii="宋体"/>
                <w:kern w:val="0"/>
              </w:rPr>
            </w:pPr>
          </w:p>
        </w:tc>
        <w:tc>
          <w:tcPr>
            <w:tcW w:w="571" w:type="dxa"/>
            <w:vMerge w:val="continue"/>
            <w:tcBorders>
              <w:top w:val="nil"/>
              <w:left w:val="single" w:color="auto" w:sz="4" w:space="0"/>
              <w:bottom w:val="single" w:color="auto" w:sz="4" w:space="0"/>
              <w:right w:val="single" w:color="auto" w:sz="4" w:space="0"/>
            </w:tcBorders>
            <w:vAlign w:val="center"/>
          </w:tcPr>
          <w:p w14:paraId="71C8016D">
            <w:pPr>
              <w:spacing w:line="320" w:lineRule="exact"/>
              <w:jc w:val="center"/>
              <w:rPr>
                <w:rFonts w:ascii="宋体"/>
                <w:kern w:val="0"/>
              </w:rPr>
            </w:pPr>
          </w:p>
        </w:tc>
        <w:tc>
          <w:tcPr>
            <w:tcW w:w="705" w:type="dxa"/>
            <w:tcBorders>
              <w:top w:val="nil"/>
              <w:left w:val="nil"/>
              <w:bottom w:val="single" w:color="auto" w:sz="4" w:space="0"/>
              <w:right w:val="single" w:color="auto" w:sz="4" w:space="0"/>
            </w:tcBorders>
            <w:vAlign w:val="center"/>
          </w:tcPr>
          <w:p w14:paraId="20EBB86C">
            <w:pPr>
              <w:spacing w:line="320" w:lineRule="exact"/>
              <w:rPr>
                <w:rFonts w:ascii="宋体" w:hAnsi="宋体" w:cs="宋体"/>
                <w:kern w:val="0"/>
              </w:rPr>
            </w:pPr>
            <w:r>
              <w:rPr>
                <w:rFonts w:hint="eastAsia" w:ascii="宋体" w:hAnsi="宋体" w:cs="宋体"/>
                <w:kern w:val="0"/>
              </w:rPr>
              <w:t>项目</w:t>
            </w:r>
          </w:p>
          <w:p w14:paraId="0E0ECA99">
            <w:pPr>
              <w:spacing w:line="320" w:lineRule="exact"/>
              <w:rPr>
                <w:rFonts w:ascii="宋体"/>
                <w:kern w:val="0"/>
              </w:rPr>
            </w:pPr>
            <w:r>
              <w:rPr>
                <w:rFonts w:hint="eastAsia" w:ascii="宋体" w:hAnsi="宋体" w:cs="宋体"/>
                <w:kern w:val="0"/>
              </w:rPr>
              <w:t>监管</w:t>
            </w:r>
          </w:p>
        </w:tc>
        <w:tc>
          <w:tcPr>
            <w:tcW w:w="567" w:type="dxa"/>
            <w:tcBorders>
              <w:top w:val="nil"/>
              <w:left w:val="nil"/>
              <w:bottom w:val="single" w:color="auto" w:sz="4" w:space="0"/>
              <w:right w:val="single" w:color="auto" w:sz="4" w:space="0"/>
            </w:tcBorders>
            <w:vAlign w:val="center"/>
          </w:tcPr>
          <w:p w14:paraId="687F0E5F">
            <w:pPr>
              <w:spacing w:line="320" w:lineRule="exact"/>
              <w:jc w:val="center"/>
              <w:rPr>
                <w:rFonts w:ascii="宋体"/>
                <w:kern w:val="0"/>
              </w:rPr>
            </w:pPr>
            <w:r>
              <w:rPr>
                <w:rFonts w:hint="eastAsia" w:ascii="宋体" w:hAnsi="宋体" w:cs="宋体"/>
                <w:kern w:val="0"/>
              </w:rPr>
              <w:t>2</w:t>
            </w:r>
          </w:p>
        </w:tc>
        <w:tc>
          <w:tcPr>
            <w:tcW w:w="2551" w:type="dxa"/>
            <w:tcBorders>
              <w:top w:val="nil"/>
              <w:left w:val="nil"/>
              <w:bottom w:val="single" w:color="auto" w:sz="4" w:space="0"/>
              <w:right w:val="single" w:color="auto" w:sz="4" w:space="0"/>
            </w:tcBorders>
            <w:vAlign w:val="center"/>
          </w:tcPr>
          <w:p w14:paraId="6D573497">
            <w:pPr>
              <w:spacing w:line="320" w:lineRule="exact"/>
              <w:rPr>
                <w:rFonts w:ascii="宋体"/>
                <w:kern w:val="0"/>
              </w:rPr>
            </w:pPr>
            <w:r>
              <w:rPr>
                <w:rFonts w:hint="eastAsia" w:ascii="宋体" w:hAnsi="宋体" w:cs="宋体"/>
                <w:kern w:val="0"/>
              </w:rPr>
              <w:t>部门（单位）对所实施项目（包括部门主管的专项资金和专项经费分配给区实施的项目）的检查、监控、督促整改等管理情况。</w:t>
            </w:r>
          </w:p>
        </w:tc>
        <w:tc>
          <w:tcPr>
            <w:tcW w:w="7371" w:type="dxa"/>
            <w:tcBorders>
              <w:top w:val="nil"/>
              <w:left w:val="nil"/>
              <w:bottom w:val="single" w:color="auto" w:sz="4" w:space="0"/>
              <w:right w:val="single" w:color="auto" w:sz="4" w:space="0"/>
            </w:tcBorders>
            <w:vAlign w:val="center"/>
          </w:tcPr>
          <w:p w14:paraId="45897C24">
            <w:pPr>
              <w:spacing w:line="300" w:lineRule="exact"/>
              <w:ind w:firstLine="420" w:firstLineChars="200"/>
              <w:rPr>
                <w:rFonts w:ascii="宋体" w:hAnsi="宋体" w:cs="宋体"/>
                <w:kern w:val="0"/>
              </w:rPr>
            </w:pPr>
            <w:r>
              <w:rPr>
                <w:rFonts w:ascii="宋体" w:hAnsi="宋体" w:cs="宋体"/>
                <w:kern w:val="0"/>
              </w:rPr>
              <w:t>1.</w:t>
            </w:r>
            <w:r>
              <w:rPr>
                <w:rFonts w:hint="eastAsia" w:ascii="宋体" w:hAnsi="宋体" w:cs="宋体"/>
                <w:kern w:val="0"/>
              </w:rPr>
              <w:t>资金使用单位、基层资金管理单位建立有效资金管理和绩效运行监控机制，且执行情况良好（1分）；</w:t>
            </w:r>
          </w:p>
          <w:p w14:paraId="466C5183">
            <w:pPr>
              <w:spacing w:line="300" w:lineRule="exact"/>
              <w:ind w:firstLine="420" w:firstLineChars="200"/>
              <w:rPr>
                <w:rFonts w:ascii="宋体" w:hAnsi="宋体" w:cs="宋体"/>
                <w:kern w:val="0"/>
              </w:rPr>
            </w:pPr>
            <w:r>
              <w:rPr>
                <w:rFonts w:ascii="宋体" w:hAnsi="宋体" w:cs="宋体"/>
                <w:kern w:val="0"/>
              </w:rPr>
              <w:t xml:space="preserve"> 2.</w:t>
            </w:r>
            <w:r>
              <w:rPr>
                <w:rFonts w:hint="eastAsia" w:ascii="宋体" w:hAnsi="宋体" w:cs="宋体"/>
                <w:kern w:val="0"/>
              </w:rPr>
              <w:t>各主管部门按规定对主管的财政资金（含专项资金和专项经费）开展有效的检查、监控、督促整改（1分），如无法提供开展检查监督相关证明材料，或被评价年度部门主管的专项资金绩效评价结果为差的，得0分。</w:t>
            </w:r>
          </w:p>
        </w:tc>
        <w:tc>
          <w:tcPr>
            <w:tcW w:w="851" w:type="dxa"/>
            <w:tcBorders>
              <w:top w:val="nil"/>
              <w:left w:val="nil"/>
              <w:bottom w:val="single" w:color="auto" w:sz="4" w:space="0"/>
              <w:right w:val="single" w:color="auto" w:sz="4" w:space="0"/>
            </w:tcBorders>
            <w:vAlign w:val="center"/>
          </w:tcPr>
          <w:p w14:paraId="447FDFAA">
            <w:pPr>
              <w:spacing w:line="320" w:lineRule="exact"/>
              <w:ind w:firstLine="210" w:firstLineChars="100"/>
              <w:rPr>
                <w:rFonts w:ascii="宋体" w:hAnsi="宋体" w:cs="宋体"/>
                <w:kern w:val="0"/>
              </w:rPr>
            </w:pPr>
            <w:r>
              <w:rPr>
                <w:rFonts w:hint="eastAsia" w:ascii="宋体" w:hAnsi="宋体" w:cs="宋体"/>
                <w:kern w:val="0"/>
              </w:rPr>
              <w:t>2</w:t>
            </w:r>
          </w:p>
        </w:tc>
      </w:tr>
      <w:tr w14:paraId="5D2A7A49">
        <w:tblPrEx>
          <w:tblCellMar>
            <w:top w:w="0" w:type="dxa"/>
            <w:left w:w="108" w:type="dxa"/>
            <w:bottom w:w="0" w:type="dxa"/>
            <w:right w:w="108" w:type="dxa"/>
          </w:tblCellMar>
        </w:tblPrEx>
        <w:trPr>
          <w:trHeight w:val="1369" w:hRule="atLeast"/>
        </w:trPr>
        <w:tc>
          <w:tcPr>
            <w:tcW w:w="577" w:type="dxa"/>
            <w:vMerge w:val="continue"/>
            <w:tcBorders>
              <w:top w:val="nil"/>
              <w:left w:val="single" w:color="auto" w:sz="4" w:space="0"/>
              <w:bottom w:val="single" w:color="auto" w:sz="4" w:space="0"/>
              <w:right w:val="single" w:color="auto" w:sz="4" w:space="0"/>
            </w:tcBorders>
            <w:vAlign w:val="center"/>
          </w:tcPr>
          <w:p w14:paraId="36BEDC09">
            <w:pPr>
              <w:spacing w:line="320" w:lineRule="exact"/>
              <w:rPr>
                <w:rFonts w:ascii="宋体"/>
                <w:kern w:val="0"/>
              </w:rPr>
            </w:pPr>
          </w:p>
        </w:tc>
        <w:tc>
          <w:tcPr>
            <w:tcW w:w="508" w:type="dxa"/>
            <w:vMerge w:val="continue"/>
            <w:tcBorders>
              <w:top w:val="nil"/>
              <w:left w:val="single" w:color="auto" w:sz="4" w:space="0"/>
              <w:bottom w:val="single" w:color="auto" w:sz="4" w:space="0"/>
              <w:right w:val="single" w:color="auto" w:sz="4" w:space="0"/>
            </w:tcBorders>
            <w:vAlign w:val="center"/>
          </w:tcPr>
          <w:p w14:paraId="530C0E06">
            <w:pPr>
              <w:spacing w:line="320" w:lineRule="exact"/>
              <w:rPr>
                <w:rFonts w:ascii="宋体"/>
                <w:kern w:val="0"/>
              </w:rPr>
            </w:pPr>
          </w:p>
        </w:tc>
        <w:tc>
          <w:tcPr>
            <w:tcW w:w="547" w:type="dxa"/>
            <w:vMerge w:val="restart"/>
            <w:tcBorders>
              <w:top w:val="nil"/>
              <w:left w:val="single" w:color="auto" w:sz="4" w:space="0"/>
              <w:bottom w:val="single" w:color="auto" w:sz="4" w:space="0"/>
              <w:right w:val="single" w:color="auto" w:sz="4" w:space="0"/>
            </w:tcBorders>
            <w:vAlign w:val="center"/>
          </w:tcPr>
          <w:p w14:paraId="1082E455">
            <w:pPr>
              <w:spacing w:line="320" w:lineRule="exact"/>
              <w:rPr>
                <w:rFonts w:ascii="宋体"/>
                <w:kern w:val="0"/>
              </w:rPr>
            </w:pPr>
            <w:r>
              <w:rPr>
                <w:rFonts w:hint="eastAsia" w:ascii="宋体" w:hAnsi="宋体" w:cs="宋体"/>
                <w:kern w:val="0"/>
              </w:rPr>
              <w:t>资产管理</w:t>
            </w:r>
          </w:p>
        </w:tc>
        <w:tc>
          <w:tcPr>
            <w:tcW w:w="571" w:type="dxa"/>
            <w:vMerge w:val="restart"/>
            <w:tcBorders>
              <w:top w:val="nil"/>
              <w:left w:val="single" w:color="auto" w:sz="4" w:space="0"/>
              <w:bottom w:val="single" w:color="auto" w:sz="4" w:space="0"/>
              <w:right w:val="single" w:color="auto" w:sz="4" w:space="0"/>
            </w:tcBorders>
            <w:vAlign w:val="center"/>
          </w:tcPr>
          <w:p w14:paraId="087E56CA">
            <w:pPr>
              <w:spacing w:line="320" w:lineRule="exact"/>
              <w:jc w:val="center"/>
              <w:rPr>
                <w:rFonts w:ascii="宋体"/>
                <w:kern w:val="0"/>
              </w:rPr>
            </w:pPr>
            <w:r>
              <w:rPr>
                <w:rFonts w:hint="eastAsia" w:ascii="宋体" w:hAnsi="宋体" w:cs="宋体"/>
                <w:kern w:val="0"/>
              </w:rPr>
              <w:t>3</w:t>
            </w:r>
          </w:p>
        </w:tc>
        <w:tc>
          <w:tcPr>
            <w:tcW w:w="705" w:type="dxa"/>
            <w:tcBorders>
              <w:top w:val="nil"/>
              <w:left w:val="nil"/>
              <w:bottom w:val="single" w:color="auto" w:sz="4" w:space="0"/>
              <w:right w:val="single" w:color="auto" w:sz="4" w:space="0"/>
            </w:tcBorders>
            <w:vAlign w:val="center"/>
          </w:tcPr>
          <w:p w14:paraId="71D448EA">
            <w:pPr>
              <w:spacing w:line="320" w:lineRule="exact"/>
              <w:rPr>
                <w:rFonts w:ascii="宋体"/>
                <w:kern w:val="0"/>
              </w:rPr>
            </w:pPr>
            <w:r>
              <w:rPr>
                <w:rFonts w:hint="eastAsia" w:ascii="宋体" w:hAnsi="宋体" w:cs="宋体"/>
                <w:kern w:val="0"/>
              </w:rPr>
              <w:t>资产管理安全性</w:t>
            </w:r>
          </w:p>
        </w:tc>
        <w:tc>
          <w:tcPr>
            <w:tcW w:w="567" w:type="dxa"/>
            <w:tcBorders>
              <w:top w:val="nil"/>
              <w:left w:val="nil"/>
              <w:bottom w:val="single" w:color="auto" w:sz="4" w:space="0"/>
              <w:right w:val="single" w:color="auto" w:sz="4" w:space="0"/>
            </w:tcBorders>
            <w:vAlign w:val="center"/>
          </w:tcPr>
          <w:p w14:paraId="77FE286C">
            <w:pPr>
              <w:spacing w:line="320" w:lineRule="exact"/>
              <w:jc w:val="center"/>
              <w:rPr>
                <w:rFonts w:ascii="宋体"/>
                <w:kern w:val="0"/>
              </w:rPr>
            </w:pPr>
            <w:r>
              <w:rPr>
                <w:rFonts w:ascii="宋体" w:hAnsi="宋体" w:cs="宋体"/>
                <w:kern w:val="0"/>
              </w:rPr>
              <w:t>2</w:t>
            </w:r>
          </w:p>
        </w:tc>
        <w:tc>
          <w:tcPr>
            <w:tcW w:w="2551" w:type="dxa"/>
            <w:tcBorders>
              <w:top w:val="nil"/>
              <w:left w:val="nil"/>
              <w:bottom w:val="single" w:color="auto" w:sz="4" w:space="0"/>
              <w:right w:val="single" w:color="auto" w:sz="4" w:space="0"/>
            </w:tcBorders>
            <w:vAlign w:val="center"/>
          </w:tcPr>
          <w:p w14:paraId="6C61BB55">
            <w:pPr>
              <w:spacing w:line="320" w:lineRule="exact"/>
              <w:rPr>
                <w:rFonts w:ascii="宋体"/>
                <w:kern w:val="0"/>
              </w:rPr>
            </w:pPr>
            <w:r>
              <w:rPr>
                <w:rFonts w:hint="eastAsia" w:ascii="宋体" w:hAnsi="宋体" w:cs="宋体"/>
                <w:kern w:val="0"/>
              </w:rPr>
              <w:t>部门（单位）的资产是否保存完整、使用合规、配置合理、处置规范、收入及时足额上缴，用于反映和考核部门（单位）资产安全运行情况。</w:t>
            </w:r>
          </w:p>
        </w:tc>
        <w:tc>
          <w:tcPr>
            <w:tcW w:w="7371" w:type="dxa"/>
            <w:tcBorders>
              <w:top w:val="nil"/>
              <w:left w:val="nil"/>
              <w:bottom w:val="single" w:color="auto" w:sz="4" w:space="0"/>
              <w:right w:val="single" w:color="auto" w:sz="4" w:space="0"/>
            </w:tcBorders>
            <w:vAlign w:val="center"/>
          </w:tcPr>
          <w:p w14:paraId="7C5C8EB5">
            <w:pPr>
              <w:spacing w:line="300" w:lineRule="exact"/>
              <w:ind w:firstLine="420" w:firstLineChars="200"/>
              <w:rPr>
                <w:rFonts w:ascii="宋体" w:hAnsi="宋体" w:cs="宋体"/>
                <w:kern w:val="0"/>
              </w:rPr>
            </w:pPr>
            <w:r>
              <w:rPr>
                <w:rFonts w:ascii="宋体" w:hAnsi="宋体" w:cs="宋体"/>
                <w:kern w:val="0"/>
              </w:rPr>
              <w:t>1.</w:t>
            </w:r>
            <w:r>
              <w:rPr>
                <w:rFonts w:hint="eastAsia" w:ascii="宋体" w:hAnsi="宋体" w:cs="宋体"/>
                <w:kern w:val="0"/>
              </w:rPr>
              <w:t>资产配置合理、保管完整，账实相符（</w:t>
            </w:r>
            <w:r>
              <w:rPr>
                <w:rFonts w:ascii="宋体" w:hAnsi="宋体" w:cs="宋体"/>
                <w:kern w:val="0"/>
              </w:rPr>
              <w:t>1</w:t>
            </w:r>
            <w:r>
              <w:rPr>
                <w:rFonts w:hint="eastAsia" w:ascii="宋体" w:hAnsi="宋体" w:cs="宋体"/>
                <w:kern w:val="0"/>
              </w:rPr>
              <w:t>分）；</w:t>
            </w:r>
          </w:p>
          <w:p w14:paraId="05DBA613">
            <w:pPr>
              <w:spacing w:line="300" w:lineRule="exact"/>
              <w:ind w:firstLine="210" w:firstLineChars="100"/>
              <w:rPr>
                <w:rFonts w:ascii="宋体" w:hAnsi="宋体" w:cs="宋体"/>
                <w:kern w:val="0"/>
              </w:rPr>
            </w:pPr>
            <w:r>
              <w:rPr>
                <w:rFonts w:ascii="宋体" w:hAnsi="宋体" w:cs="宋体"/>
                <w:kern w:val="0"/>
              </w:rPr>
              <w:t xml:space="preserve">  2.</w:t>
            </w:r>
            <w:r>
              <w:rPr>
                <w:rFonts w:hint="eastAsia" w:ascii="宋体" w:hAnsi="宋体" w:cs="宋体"/>
                <w:kern w:val="0"/>
              </w:rPr>
              <w:t>资产处置规范，有偿使用及处置收入及时足额上缴（</w:t>
            </w:r>
            <w:r>
              <w:rPr>
                <w:rFonts w:ascii="宋体" w:hAnsi="宋体" w:cs="宋体"/>
                <w:kern w:val="0"/>
              </w:rPr>
              <w:t>1</w:t>
            </w:r>
            <w:r>
              <w:rPr>
                <w:rFonts w:hint="eastAsia" w:ascii="宋体" w:hAnsi="宋体" w:cs="宋体"/>
                <w:kern w:val="0"/>
              </w:rPr>
              <w:t>分）。</w:t>
            </w:r>
          </w:p>
        </w:tc>
        <w:tc>
          <w:tcPr>
            <w:tcW w:w="851" w:type="dxa"/>
            <w:tcBorders>
              <w:top w:val="nil"/>
              <w:left w:val="nil"/>
              <w:bottom w:val="single" w:color="auto" w:sz="4" w:space="0"/>
              <w:right w:val="single" w:color="auto" w:sz="4" w:space="0"/>
            </w:tcBorders>
            <w:vAlign w:val="center"/>
          </w:tcPr>
          <w:p w14:paraId="567EE52B">
            <w:pPr>
              <w:spacing w:line="320" w:lineRule="exact"/>
              <w:jc w:val="center"/>
              <w:rPr>
                <w:rFonts w:ascii="宋体" w:hAnsi="宋体" w:cs="宋体"/>
                <w:kern w:val="0"/>
              </w:rPr>
            </w:pPr>
            <w:r>
              <w:rPr>
                <w:rFonts w:hint="eastAsia" w:ascii="宋体" w:hAnsi="宋体" w:cs="宋体"/>
                <w:kern w:val="0"/>
              </w:rPr>
              <w:t>2</w:t>
            </w:r>
          </w:p>
        </w:tc>
      </w:tr>
      <w:tr w14:paraId="5DBD5F8E">
        <w:tblPrEx>
          <w:tblCellMar>
            <w:top w:w="0" w:type="dxa"/>
            <w:left w:w="108" w:type="dxa"/>
            <w:bottom w:w="0" w:type="dxa"/>
            <w:right w:w="108" w:type="dxa"/>
          </w:tblCellMar>
        </w:tblPrEx>
        <w:trPr>
          <w:trHeight w:val="1727" w:hRule="atLeast"/>
        </w:trPr>
        <w:tc>
          <w:tcPr>
            <w:tcW w:w="577" w:type="dxa"/>
            <w:vMerge w:val="continue"/>
            <w:tcBorders>
              <w:top w:val="nil"/>
              <w:left w:val="single" w:color="auto" w:sz="4" w:space="0"/>
              <w:bottom w:val="single" w:color="auto" w:sz="4" w:space="0"/>
              <w:right w:val="single" w:color="auto" w:sz="4" w:space="0"/>
            </w:tcBorders>
            <w:vAlign w:val="center"/>
          </w:tcPr>
          <w:p w14:paraId="41A2304A">
            <w:pPr>
              <w:spacing w:line="320" w:lineRule="exact"/>
              <w:rPr>
                <w:rFonts w:ascii="宋体"/>
                <w:kern w:val="0"/>
              </w:rPr>
            </w:pPr>
          </w:p>
        </w:tc>
        <w:tc>
          <w:tcPr>
            <w:tcW w:w="508" w:type="dxa"/>
            <w:vMerge w:val="continue"/>
            <w:tcBorders>
              <w:top w:val="nil"/>
              <w:left w:val="single" w:color="auto" w:sz="4" w:space="0"/>
              <w:bottom w:val="single" w:color="auto" w:sz="4" w:space="0"/>
              <w:right w:val="single" w:color="auto" w:sz="4" w:space="0"/>
            </w:tcBorders>
            <w:vAlign w:val="center"/>
          </w:tcPr>
          <w:p w14:paraId="062364B2">
            <w:pPr>
              <w:spacing w:line="320" w:lineRule="exact"/>
              <w:rPr>
                <w:rFonts w:ascii="宋体"/>
                <w:kern w:val="0"/>
              </w:rPr>
            </w:pPr>
          </w:p>
        </w:tc>
        <w:tc>
          <w:tcPr>
            <w:tcW w:w="547" w:type="dxa"/>
            <w:vMerge w:val="continue"/>
            <w:tcBorders>
              <w:top w:val="nil"/>
              <w:left w:val="single" w:color="auto" w:sz="4" w:space="0"/>
              <w:bottom w:val="single" w:color="auto" w:sz="4" w:space="0"/>
              <w:right w:val="single" w:color="auto" w:sz="4" w:space="0"/>
            </w:tcBorders>
            <w:vAlign w:val="center"/>
          </w:tcPr>
          <w:p w14:paraId="16DAC407">
            <w:pPr>
              <w:spacing w:line="320" w:lineRule="exact"/>
              <w:rPr>
                <w:rFonts w:ascii="宋体"/>
                <w:kern w:val="0"/>
              </w:rPr>
            </w:pPr>
          </w:p>
        </w:tc>
        <w:tc>
          <w:tcPr>
            <w:tcW w:w="571" w:type="dxa"/>
            <w:vMerge w:val="continue"/>
            <w:tcBorders>
              <w:top w:val="nil"/>
              <w:left w:val="single" w:color="auto" w:sz="4" w:space="0"/>
              <w:bottom w:val="single" w:color="auto" w:sz="4" w:space="0"/>
              <w:right w:val="single" w:color="auto" w:sz="4" w:space="0"/>
            </w:tcBorders>
            <w:vAlign w:val="center"/>
          </w:tcPr>
          <w:p w14:paraId="619EFF55">
            <w:pPr>
              <w:spacing w:line="320" w:lineRule="exact"/>
              <w:jc w:val="center"/>
              <w:rPr>
                <w:rFonts w:ascii="宋体"/>
                <w:kern w:val="0"/>
              </w:rPr>
            </w:pPr>
          </w:p>
        </w:tc>
        <w:tc>
          <w:tcPr>
            <w:tcW w:w="705" w:type="dxa"/>
            <w:tcBorders>
              <w:top w:val="nil"/>
              <w:left w:val="nil"/>
              <w:bottom w:val="single" w:color="auto" w:sz="4" w:space="0"/>
              <w:right w:val="single" w:color="auto" w:sz="4" w:space="0"/>
            </w:tcBorders>
            <w:vAlign w:val="center"/>
          </w:tcPr>
          <w:p w14:paraId="2BB641F6">
            <w:pPr>
              <w:spacing w:line="300" w:lineRule="exact"/>
              <w:rPr>
                <w:rFonts w:ascii="宋体"/>
                <w:kern w:val="0"/>
              </w:rPr>
            </w:pPr>
            <w:r>
              <w:rPr>
                <w:rFonts w:hint="eastAsia" w:ascii="宋体" w:hAnsi="宋体" w:cs="宋体"/>
                <w:kern w:val="0"/>
              </w:rPr>
              <w:t>固定资产利用率</w:t>
            </w:r>
          </w:p>
        </w:tc>
        <w:tc>
          <w:tcPr>
            <w:tcW w:w="567" w:type="dxa"/>
            <w:tcBorders>
              <w:top w:val="nil"/>
              <w:left w:val="nil"/>
              <w:bottom w:val="single" w:color="auto" w:sz="4" w:space="0"/>
              <w:right w:val="single" w:color="auto" w:sz="4" w:space="0"/>
            </w:tcBorders>
            <w:vAlign w:val="center"/>
          </w:tcPr>
          <w:p w14:paraId="0A0D4B4B">
            <w:pPr>
              <w:spacing w:line="300" w:lineRule="exact"/>
              <w:jc w:val="center"/>
              <w:rPr>
                <w:rFonts w:ascii="宋体"/>
                <w:kern w:val="0"/>
              </w:rPr>
            </w:pPr>
            <w:r>
              <w:rPr>
                <w:rFonts w:hint="eastAsia" w:ascii="宋体" w:hAnsi="宋体" w:cs="宋体"/>
                <w:kern w:val="0"/>
              </w:rPr>
              <w:t>1</w:t>
            </w:r>
          </w:p>
        </w:tc>
        <w:tc>
          <w:tcPr>
            <w:tcW w:w="2551" w:type="dxa"/>
            <w:tcBorders>
              <w:top w:val="nil"/>
              <w:left w:val="nil"/>
              <w:bottom w:val="single" w:color="auto" w:sz="4" w:space="0"/>
              <w:right w:val="single" w:color="auto" w:sz="4" w:space="0"/>
            </w:tcBorders>
            <w:vAlign w:val="center"/>
          </w:tcPr>
          <w:p w14:paraId="3B0E3651">
            <w:pPr>
              <w:spacing w:line="300" w:lineRule="exact"/>
              <w:rPr>
                <w:rFonts w:ascii="宋体"/>
                <w:kern w:val="0"/>
              </w:rPr>
            </w:pPr>
            <w:r>
              <w:rPr>
                <w:rFonts w:hint="eastAsia" w:ascii="宋体" w:hAnsi="宋体" w:cs="宋体"/>
                <w:kern w:val="0"/>
              </w:rPr>
              <w:t>部门（单位）实际在用固定资产总额与所有固定资产总额的比例，用以反映和考核部门（单位）固定资产使用效率程度。</w:t>
            </w:r>
          </w:p>
        </w:tc>
        <w:tc>
          <w:tcPr>
            <w:tcW w:w="7371" w:type="dxa"/>
            <w:tcBorders>
              <w:top w:val="nil"/>
              <w:left w:val="nil"/>
              <w:bottom w:val="single" w:color="auto" w:sz="4" w:space="0"/>
              <w:right w:val="single" w:color="auto" w:sz="4" w:space="0"/>
            </w:tcBorders>
            <w:vAlign w:val="center"/>
          </w:tcPr>
          <w:p w14:paraId="2B469280">
            <w:pPr>
              <w:spacing w:line="300" w:lineRule="exact"/>
              <w:rPr>
                <w:rFonts w:ascii="宋体" w:hAnsi="宋体" w:cs="宋体"/>
                <w:kern w:val="0"/>
              </w:rPr>
            </w:pPr>
            <w:r>
              <w:rPr>
                <w:rFonts w:hint="eastAsia" w:ascii="宋体" w:hAnsi="宋体" w:cs="宋体"/>
                <w:kern w:val="0"/>
              </w:rPr>
              <w:t>固定资产利用率=（实际在用固定资产总额/所有固定资产总额）×</w:t>
            </w:r>
            <w:r>
              <w:rPr>
                <w:rFonts w:ascii="宋体" w:hAnsi="宋体" w:cs="宋体"/>
                <w:kern w:val="0"/>
              </w:rPr>
              <w:t>100%</w:t>
            </w:r>
          </w:p>
          <w:p w14:paraId="4D6F0081">
            <w:pPr>
              <w:spacing w:line="300" w:lineRule="exact"/>
              <w:ind w:firstLine="840" w:firstLineChars="400"/>
              <w:rPr>
                <w:rFonts w:ascii="宋体" w:hAnsi="宋体" w:cs="宋体"/>
                <w:kern w:val="0"/>
              </w:rPr>
            </w:pPr>
            <w:r>
              <w:rPr>
                <w:rFonts w:ascii="宋体" w:hAnsi="宋体" w:cs="宋体"/>
                <w:kern w:val="0"/>
              </w:rPr>
              <w:t>1.</w:t>
            </w:r>
            <w:r>
              <w:rPr>
                <w:rFonts w:hint="eastAsia" w:ascii="宋体" w:hAnsi="宋体" w:cs="宋体"/>
                <w:kern w:val="0"/>
              </w:rPr>
              <w:t>固定资产利用率≥</w:t>
            </w:r>
            <w:r>
              <w:rPr>
                <w:rFonts w:ascii="宋体" w:hAnsi="宋体" w:cs="宋体"/>
                <w:kern w:val="0"/>
              </w:rPr>
              <w:t>90%</w:t>
            </w:r>
            <w:r>
              <w:rPr>
                <w:rFonts w:hint="eastAsia" w:ascii="宋体" w:hAnsi="宋体" w:cs="宋体"/>
                <w:kern w:val="0"/>
              </w:rPr>
              <w:t>的，得1分；</w:t>
            </w:r>
          </w:p>
          <w:p w14:paraId="3673440F">
            <w:pPr>
              <w:spacing w:line="300" w:lineRule="exact"/>
              <w:ind w:firstLine="420" w:firstLineChars="200"/>
              <w:rPr>
                <w:rFonts w:ascii="宋体" w:hAnsi="宋体" w:cs="宋体"/>
                <w:kern w:val="0"/>
              </w:rPr>
            </w:pPr>
            <w:r>
              <w:rPr>
                <w:rFonts w:ascii="宋体" w:hAnsi="宋体" w:cs="宋体"/>
                <w:kern w:val="0"/>
              </w:rPr>
              <w:t xml:space="preserve">    2.90%</w:t>
            </w:r>
            <w:r>
              <w:rPr>
                <w:rFonts w:hint="eastAsia" w:ascii="宋体" w:hAnsi="宋体" w:cs="宋体"/>
                <w:kern w:val="0"/>
              </w:rPr>
              <w:t>＞固定资产利用率≥</w:t>
            </w:r>
            <w:r>
              <w:rPr>
                <w:rFonts w:ascii="宋体" w:hAnsi="宋体" w:cs="宋体"/>
                <w:kern w:val="0"/>
              </w:rPr>
              <w:t>75%</w:t>
            </w:r>
            <w:r>
              <w:rPr>
                <w:rFonts w:hint="eastAsia" w:ascii="宋体" w:hAnsi="宋体" w:cs="宋体"/>
                <w:kern w:val="0"/>
              </w:rPr>
              <w:t>的，得0.7分；</w:t>
            </w:r>
          </w:p>
          <w:p w14:paraId="7F06BC33">
            <w:pPr>
              <w:spacing w:line="300" w:lineRule="exact"/>
              <w:ind w:firstLine="420" w:firstLineChars="200"/>
              <w:rPr>
                <w:rFonts w:ascii="宋体" w:hAnsi="宋体" w:cs="宋体"/>
                <w:kern w:val="0"/>
              </w:rPr>
            </w:pPr>
            <w:r>
              <w:rPr>
                <w:rFonts w:ascii="宋体" w:hAnsi="宋体" w:cs="宋体"/>
                <w:kern w:val="0"/>
              </w:rPr>
              <w:t xml:space="preserve">    3.75%</w:t>
            </w:r>
            <w:r>
              <w:rPr>
                <w:rFonts w:hint="eastAsia" w:ascii="宋体" w:hAnsi="宋体" w:cs="宋体"/>
                <w:kern w:val="0"/>
              </w:rPr>
              <w:t>＞固定资产利用率≥</w:t>
            </w:r>
            <w:r>
              <w:rPr>
                <w:rFonts w:ascii="宋体" w:hAnsi="宋体" w:cs="宋体"/>
                <w:kern w:val="0"/>
              </w:rPr>
              <w:t>60%</w:t>
            </w:r>
            <w:r>
              <w:rPr>
                <w:rFonts w:hint="eastAsia" w:ascii="宋体" w:hAnsi="宋体" w:cs="宋体"/>
                <w:kern w:val="0"/>
              </w:rPr>
              <w:t>的，得</w:t>
            </w:r>
            <w:r>
              <w:rPr>
                <w:rFonts w:ascii="宋体" w:hAnsi="宋体" w:cs="宋体"/>
                <w:kern w:val="0"/>
              </w:rPr>
              <w:t>0.</w:t>
            </w:r>
            <w:r>
              <w:rPr>
                <w:rFonts w:hint="eastAsia" w:ascii="宋体" w:hAnsi="宋体" w:cs="宋体"/>
                <w:kern w:val="0"/>
              </w:rPr>
              <w:t>4分；</w:t>
            </w:r>
          </w:p>
          <w:p w14:paraId="406EFF0B">
            <w:pPr>
              <w:spacing w:line="300" w:lineRule="exact"/>
              <w:ind w:firstLine="420" w:firstLineChars="200"/>
              <w:rPr>
                <w:rFonts w:ascii="宋体" w:hAnsi="宋体" w:cs="宋体"/>
                <w:kern w:val="0"/>
              </w:rPr>
            </w:pPr>
            <w:r>
              <w:rPr>
                <w:rFonts w:ascii="宋体" w:hAnsi="宋体" w:cs="宋体"/>
                <w:kern w:val="0"/>
              </w:rPr>
              <w:t xml:space="preserve">    4.</w:t>
            </w:r>
            <w:r>
              <w:rPr>
                <w:rFonts w:hint="eastAsia" w:ascii="宋体" w:hAnsi="宋体" w:cs="宋体"/>
                <w:kern w:val="0"/>
              </w:rPr>
              <w:t>固定资产利用率＜</w:t>
            </w:r>
            <w:r>
              <w:rPr>
                <w:rFonts w:ascii="宋体" w:hAnsi="宋体" w:cs="宋体"/>
                <w:kern w:val="0"/>
              </w:rPr>
              <w:t>60%</w:t>
            </w:r>
            <w:r>
              <w:rPr>
                <w:rFonts w:hint="eastAsia" w:ascii="宋体" w:hAnsi="宋体" w:cs="宋体"/>
                <w:kern w:val="0"/>
              </w:rPr>
              <w:t>的，得</w:t>
            </w:r>
            <w:r>
              <w:rPr>
                <w:rFonts w:ascii="宋体" w:hAnsi="宋体" w:cs="宋体"/>
                <w:kern w:val="0"/>
              </w:rPr>
              <w:t>0</w:t>
            </w:r>
            <w:r>
              <w:rPr>
                <w:rFonts w:hint="eastAsia" w:ascii="宋体" w:hAnsi="宋体" w:cs="宋体"/>
                <w:kern w:val="0"/>
              </w:rPr>
              <w:t>分。</w:t>
            </w:r>
          </w:p>
        </w:tc>
        <w:tc>
          <w:tcPr>
            <w:tcW w:w="851" w:type="dxa"/>
            <w:tcBorders>
              <w:top w:val="nil"/>
              <w:left w:val="nil"/>
              <w:bottom w:val="single" w:color="auto" w:sz="4" w:space="0"/>
              <w:right w:val="single" w:color="auto" w:sz="4" w:space="0"/>
            </w:tcBorders>
            <w:vAlign w:val="center"/>
          </w:tcPr>
          <w:p w14:paraId="7D3B0F0D">
            <w:pPr>
              <w:spacing w:line="300" w:lineRule="exact"/>
              <w:jc w:val="center"/>
              <w:rPr>
                <w:rFonts w:ascii="宋体"/>
                <w:kern w:val="0"/>
              </w:rPr>
            </w:pPr>
            <w:r>
              <w:rPr>
                <w:rFonts w:hint="eastAsia" w:ascii="宋体"/>
                <w:kern w:val="0"/>
              </w:rPr>
              <w:t>1</w:t>
            </w:r>
          </w:p>
        </w:tc>
      </w:tr>
      <w:tr w14:paraId="1E170B37">
        <w:tblPrEx>
          <w:tblCellMar>
            <w:top w:w="0" w:type="dxa"/>
            <w:left w:w="108" w:type="dxa"/>
            <w:bottom w:w="0" w:type="dxa"/>
            <w:right w:w="108" w:type="dxa"/>
          </w:tblCellMar>
        </w:tblPrEx>
        <w:trPr>
          <w:trHeight w:val="1559" w:hRule="atLeast"/>
        </w:trPr>
        <w:tc>
          <w:tcPr>
            <w:tcW w:w="577" w:type="dxa"/>
            <w:vMerge w:val="continue"/>
            <w:tcBorders>
              <w:top w:val="nil"/>
              <w:left w:val="single" w:color="auto" w:sz="4" w:space="0"/>
              <w:bottom w:val="single" w:color="auto" w:sz="4" w:space="0"/>
              <w:right w:val="single" w:color="auto" w:sz="4" w:space="0"/>
            </w:tcBorders>
            <w:vAlign w:val="center"/>
          </w:tcPr>
          <w:p w14:paraId="4507B1E9">
            <w:pPr>
              <w:spacing w:line="320" w:lineRule="exact"/>
              <w:rPr>
                <w:rFonts w:ascii="宋体"/>
                <w:kern w:val="0"/>
              </w:rPr>
            </w:pPr>
          </w:p>
        </w:tc>
        <w:tc>
          <w:tcPr>
            <w:tcW w:w="508" w:type="dxa"/>
            <w:vMerge w:val="continue"/>
            <w:tcBorders>
              <w:top w:val="nil"/>
              <w:left w:val="single" w:color="auto" w:sz="4" w:space="0"/>
              <w:bottom w:val="single" w:color="auto" w:sz="4" w:space="0"/>
              <w:right w:val="single" w:color="auto" w:sz="4" w:space="0"/>
            </w:tcBorders>
            <w:vAlign w:val="center"/>
          </w:tcPr>
          <w:p w14:paraId="534123FD">
            <w:pPr>
              <w:spacing w:line="320" w:lineRule="exact"/>
              <w:rPr>
                <w:rFonts w:ascii="宋体"/>
                <w:kern w:val="0"/>
              </w:rPr>
            </w:pPr>
          </w:p>
        </w:tc>
        <w:tc>
          <w:tcPr>
            <w:tcW w:w="547" w:type="dxa"/>
            <w:vMerge w:val="restart"/>
            <w:tcBorders>
              <w:top w:val="single" w:color="auto" w:sz="4" w:space="0"/>
              <w:left w:val="nil"/>
              <w:bottom w:val="single" w:color="auto" w:sz="4" w:space="0"/>
              <w:right w:val="single" w:color="auto" w:sz="4" w:space="0"/>
            </w:tcBorders>
            <w:vAlign w:val="center"/>
          </w:tcPr>
          <w:p w14:paraId="050E93C7">
            <w:pPr>
              <w:spacing w:line="320" w:lineRule="exact"/>
              <w:rPr>
                <w:rFonts w:ascii="宋体"/>
                <w:kern w:val="0"/>
              </w:rPr>
            </w:pPr>
            <w:r>
              <w:rPr>
                <w:rFonts w:hint="eastAsia" w:ascii="宋体" w:hAnsi="宋体" w:cs="宋体"/>
                <w:kern w:val="0"/>
              </w:rPr>
              <w:t>人员管理</w:t>
            </w:r>
          </w:p>
        </w:tc>
        <w:tc>
          <w:tcPr>
            <w:tcW w:w="571" w:type="dxa"/>
            <w:vMerge w:val="restart"/>
            <w:tcBorders>
              <w:top w:val="single" w:color="auto" w:sz="4" w:space="0"/>
              <w:left w:val="nil"/>
              <w:bottom w:val="single" w:color="auto" w:sz="4" w:space="0"/>
              <w:right w:val="single" w:color="auto" w:sz="4" w:space="0"/>
            </w:tcBorders>
            <w:vAlign w:val="center"/>
          </w:tcPr>
          <w:p w14:paraId="1B47FE3B">
            <w:pPr>
              <w:spacing w:line="320" w:lineRule="exact"/>
              <w:jc w:val="center"/>
              <w:rPr>
                <w:rFonts w:ascii="宋体"/>
                <w:kern w:val="0"/>
              </w:rPr>
            </w:pPr>
            <w:r>
              <w:rPr>
                <w:rFonts w:hint="eastAsia" w:ascii="宋体" w:hAnsi="宋体" w:cs="宋体"/>
                <w:kern w:val="0"/>
              </w:rPr>
              <w:t>2</w:t>
            </w:r>
          </w:p>
        </w:tc>
        <w:tc>
          <w:tcPr>
            <w:tcW w:w="705" w:type="dxa"/>
            <w:tcBorders>
              <w:top w:val="single" w:color="auto" w:sz="4" w:space="0"/>
              <w:left w:val="nil"/>
              <w:bottom w:val="single" w:color="auto" w:sz="4" w:space="0"/>
              <w:right w:val="single" w:color="auto" w:sz="4" w:space="0"/>
            </w:tcBorders>
            <w:vAlign w:val="center"/>
          </w:tcPr>
          <w:p w14:paraId="33F0D51B">
            <w:pPr>
              <w:spacing w:line="300" w:lineRule="exact"/>
              <w:rPr>
                <w:rFonts w:ascii="宋体"/>
                <w:kern w:val="0"/>
              </w:rPr>
            </w:pPr>
            <w:r>
              <w:rPr>
                <w:rFonts w:hint="eastAsia" w:ascii="宋体" w:hAnsi="宋体" w:cs="宋体"/>
                <w:kern w:val="0"/>
              </w:rPr>
              <w:t>财政供养人员控制率</w:t>
            </w:r>
          </w:p>
        </w:tc>
        <w:tc>
          <w:tcPr>
            <w:tcW w:w="567" w:type="dxa"/>
            <w:tcBorders>
              <w:top w:val="single" w:color="auto" w:sz="4" w:space="0"/>
              <w:left w:val="nil"/>
              <w:bottom w:val="single" w:color="auto" w:sz="4" w:space="0"/>
              <w:right w:val="single" w:color="auto" w:sz="4" w:space="0"/>
            </w:tcBorders>
            <w:vAlign w:val="center"/>
          </w:tcPr>
          <w:p w14:paraId="392C4513">
            <w:pPr>
              <w:spacing w:line="300" w:lineRule="exact"/>
              <w:jc w:val="center"/>
              <w:rPr>
                <w:rFonts w:ascii="宋体"/>
                <w:kern w:val="0"/>
              </w:rPr>
            </w:pPr>
            <w:r>
              <w:rPr>
                <w:rFonts w:ascii="宋体" w:hAnsi="宋体" w:cs="宋体"/>
                <w:kern w:val="0"/>
              </w:rPr>
              <w:t>1</w:t>
            </w:r>
          </w:p>
        </w:tc>
        <w:tc>
          <w:tcPr>
            <w:tcW w:w="2551" w:type="dxa"/>
            <w:tcBorders>
              <w:top w:val="single" w:color="auto" w:sz="4" w:space="0"/>
              <w:left w:val="nil"/>
              <w:bottom w:val="single" w:color="auto" w:sz="4" w:space="0"/>
              <w:right w:val="single" w:color="auto" w:sz="4" w:space="0"/>
            </w:tcBorders>
            <w:vAlign w:val="center"/>
          </w:tcPr>
          <w:p w14:paraId="7262C2B1">
            <w:pPr>
              <w:spacing w:line="300" w:lineRule="exact"/>
              <w:rPr>
                <w:rFonts w:ascii="宋体"/>
                <w:kern w:val="0"/>
              </w:rPr>
            </w:pPr>
            <w:r>
              <w:rPr>
                <w:rFonts w:hint="eastAsia" w:ascii="宋体" w:hAnsi="宋体" w:cs="宋体"/>
                <w:kern w:val="0"/>
              </w:rPr>
              <w:t>部门（单位）本年度在编人数（含工勤人员）与核定编制数（含工勤人员）的比率。</w:t>
            </w:r>
          </w:p>
        </w:tc>
        <w:tc>
          <w:tcPr>
            <w:tcW w:w="7371" w:type="dxa"/>
            <w:tcBorders>
              <w:top w:val="single" w:color="auto" w:sz="4" w:space="0"/>
              <w:left w:val="nil"/>
              <w:bottom w:val="single" w:color="auto" w:sz="4" w:space="0"/>
              <w:right w:val="single" w:color="auto" w:sz="4" w:space="0"/>
            </w:tcBorders>
            <w:vAlign w:val="center"/>
          </w:tcPr>
          <w:p w14:paraId="51D3E381">
            <w:pPr>
              <w:spacing w:line="300" w:lineRule="exact"/>
              <w:rPr>
                <w:rFonts w:ascii="宋体" w:hAnsi="宋体" w:cs="宋体"/>
                <w:kern w:val="0"/>
              </w:rPr>
            </w:pPr>
            <w:r>
              <w:rPr>
                <w:rFonts w:hint="eastAsia" w:ascii="宋体" w:hAnsi="宋体" w:cs="宋体"/>
                <w:kern w:val="0"/>
              </w:rPr>
              <w:t>财政供养人员控制率=本年度在编人数（含工勤人员）/核定编制数（含工勤人员）</w:t>
            </w:r>
          </w:p>
          <w:p w14:paraId="48CBB896">
            <w:pPr>
              <w:spacing w:line="300" w:lineRule="exact"/>
              <w:rPr>
                <w:rFonts w:ascii="宋体" w:hAnsi="宋体" w:cs="宋体"/>
                <w:kern w:val="0"/>
              </w:rPr>
            </w:pPr>
            <w:r>
              <w:rPr>
                <w:rFonts w:hint="eastAsia" w:ascii="宋体" w:hAnsi="宋体" w:cs="宋体"/>
                <w:kern w:val="0"/>
              </w:rPr>
              <w:t>1.财政供养人员控制率≤</w:t>
            </w:r>
            <w:r>
              <w:rPr>
                <w:rFonts w:ascii="宋体" w:hAnsi="宋体" w:cs="宋体"/>
                <w:kern w:val="0"/>
              </w:rPr>
              <w:t>100%</w:t>
            </w:r>
            <w:r>
              <w:rPr>
                <w:rFonts w:hint="eastAsia" w:ascii="宋体" w:hAnsi="宋体" w:cs="宋体"/>
                <w:kern w:val="0"/>
              </w:rPr>
              <w:t>的，得1分；</w:t>
            </w:r>
          </w:p>
          <w:p w14:paraId="4A751B79">
            <w:pPr>
              <w:spacing w:line="300" w:lineRule="exact"/>
              <w:rPr>
                <w:rFonts w:ascii="宋体" w:hAnsi="宋体" w:cs="宋体"/>
                <w:kern w:val="0"/>
              </w:rPr>
            </w:pPr>
            <w:r>
              <w:rPr>
                <w:rFonts w:hint="eastAsia" w:ascii="宋体" w:hAnsi="宋体" w:cs="宋体"/>
                <w:kern w:val="0"/>
              </w:rPr>
              <w:t>2.财政供养人员控制率＞</w:t>
            </w:r>
            <w:r>
              <w:rPr>
                <w:rFonts w:ascii="宋体" w:hAnsi="宋体" w:cs="宋体"/>
                <w:kern w:val="0"/>
              </w:rPr>
              <w:t>100%</w:t>
            </w:r>
            <w:r>
              <w:rPr>
                <w:rFonts w:hint="eastAsia" w:ascii="宋体" w:hAnsi="宋体" w:cs="宋体"/>
                <w:kern w:val="0"/>
              </w:rPr>
              <w:t>的，得0分。</w:t>
            </w:r>
          </w:p>
        </w:tc>
        <w:tc>
          <w:tcPr>
            <w:tcW w:w="851" w:type="dxa"/>
            <w:tcBorders>
              <w:top w:val="single" w:color="auto" w:sz="4" w:space="0"/>
              <w:left w:val="nil"/>
              <w:bottom w:val="single" w:color="auto" w:sz="4" w:space="0"/>
              <w:right w:val="single" w:color="auto" w:sz="4" w:space="0"/>
            </w:tcBorders>
            <w:vAlign w:val="center"/>
          </w:tcPr>
          <w:p w14:paraId="09ABC7A7">
            <w:pPr>
              <w:spacing w:line="300" w:lineRule="exact"/>
              <w:jc w:val="center"/>
              <w:rPr>
                <w:rFonts w:ascii="宋体"/>
                <w:kern w:val="0"/>
              </w:rPr>
            </w:pPr>
            <w:r>
              <w:rPr>
                <w:rFonts w:hint="eastAsia" w:ascii="宋体"/>
                <w:kern w:val="0"/>
              </w:rPr>
              <w:t>1</w:t>
            </w:r>
          </w:p>
        </w:tc>
      </w:tr>
      <w:tr w14:paraId="3EDB0EA6">
        <w:tblPrEx>
          <w:tblCellMar>
            <w:top w:w="0" w:type="dxa"/>
            <w:left w:w="108" w:type="dxa"/>
            <w:bottom w:w="0" w:type="dxa"/>
            <w:right w:w="108" w:type="dxa"/>
          </w:tblCellMar>
        </w:tblPrEx>
        <w:trPr>
          <w:trHeight w:val="1267" w:hRule="atLeast"/>
        </w:trPr>
        <w:tc>
          <w:tcPr>
            <w:tcW w:w="577" w:type="dxa"/>
            <w:vMerge w:val="continue"/>
            <w:tcBorders>
              <w:top w:val="nil"/>
              <w:left w:val="single" w:color="auto" w:sz="4" w:space="0"/>
              <w:bottom w:val="single" w:color="auto" w:sz="4" w:space="0"/>
              <w:right w:val="single" w:color="auto" w:sz="4" w:space="0"/>
            </w:tcBorders>
            <w:vAlign w:val="center"/>
          </w:tcPr>
          <w:p w14:paraId="751603A3">
            <w:pPr>
              <w:spacing w:line="320" w:lineRule="exact"/>
              <w:rPr>
                <w:rFonts w:ascii="宋体"/>
                <w:kern w:val="0"/>
              </w:rPr>
            </w:pPr>
          </w:p>
        </w:tc>
        <w:tc>
          <w:tcPr>
            <w:tcW w:w="508" w:type="dxa"/>
            <w:vMerge w:val="continue"/>
            <w:tcBorders>
              <w:top w:val="nil"/>
              <w:left w:val="single" w:color="auto" w:sz="4" w:space="0"/>
              <w:bottom w:val="single" w:color="auto" w:sz="4" w:space="0"/>
              <w:right w:val="single" w:color="auto" w:sz="4" w:space="0"/>
            </w:tcBorders>
            <w:vAlign w:val="center"/>
          </w:tcPr>
          <w:p w14:paraId="68966911">
            <w:pPr>
              <w:spacing w:line="320" w:lineRule="exact"/>
              <w:rPr>
                <w:rFonts w:ascii="宋体"/>
                <w:kern w:val="0"/>
              </w:rPr>
            </w:pPr>
          </w:p>
        </w:tc>
        <w:tc>
          <w:tcPr>
            <w:tcW w:w="547" w:type="dxa"/>
            <w:vMerge w:val="continue"/>
            <w:tcBorders>
              <w:top w:val="single" w:color="auto" w:sz="4" w:space="0"/>
              <w:left w:val="nil"/>
              <w:bottom w:val="single" w:color="auto" w:sz="4" w:space="0"/>
              <w:right w:val="single" w:color="auto" w:sz="4" w:space="0"/>
            </w:tcBorders>
            <w:vAlign w:val="center"/>
          </w:tcPr>
          <w:p w14:paraId="6D499DE5">
            <w:pPr>
              <w:spacing w:line="320" w:lineRule="exact"/>
              <w:rPr>
                <w:rFonts w:ascii="宋体"/>
                <w:kern w:val="0"/>
              </w:rPr>
            </w:pPr>
          </w:p>
        </w:tc>
        <w:tc>
          <w:tcPr>
            <w:tcW w:w="571" w:type="dxa"/>
            <w:vMerge w:val="continue"/>
            <w:tcBorders>
              <w:top w:val="single" w:color="auto" w:sz="4" w:space="0"/>
              <w:left w:val="nil"/>
              <w:bottom w:val="single" w:color="auto" w:sz="4" w:space="0"/>
              <w:right w:val="single" w:color="auto" w:sz="4" w:space="0"/>
            </w:tcBorders>
            <w:vAlign w:val="center"/>
          </w:tcPr>
          <w:p w14:paraId="3C3B4989">
            <w:pPr>
              <w:spacing w:line="320" w:lineRule="exact"/>
              <w:jc w:val="center"/>
              <w:rPr>
                <w:rFonts w:ascii="宋体"/>
                <w:kern w:val="0"/>
              </w:rPr>
            </w:pPr>
          </w:p>
        </w:tc>
        <w:tc>
          <w:tcPr>
            <w:tcW w:w="705" w:type="dxa"/>
            <w:tcBorders>
              <w:top w:val="single" w:color="auto" w:sz="4" w:space="0"/>
              <w:left w:val="nil"/>
              <w:bottom w:val="single" w:color="auto" w:sz="4" w:space="0"/>
              <w:right w:val="single" w:color="auto" w:sz="4" w:space="0"/>
            </w:tcBorders>
            <w:vAlign w:val="center"/>
          </w:tcPr>
          <w:p w14:paraId="4980E39C">
            <w:pPr>
              <w:spacing w:line="300" w:lineRule="exact"/>
              <w:rPr>
                <w:rFonts w:ascii="宋体"/>
                <w:kern w:val="0"/>
              </w:rPr>
            </w:pPr>
            <w:r>
              <w:rPr>
                <w:rFonts w:hint="eastAsia" w:ascii="宋体" w:hAnsi="宋体" w:cs="宋体"/>
                <w:kern w:val="0"/>
              </w:rPr>
              <w:t>编外人员控制率</w:t>
            </w:r>
          </w:p>
        </w:tc>
        <w:tc>
          <w:tcPr>
            <w:tcW w:w="567" w:type="dxa"/>
            <w:tcBorders>
              <w:top w:val="single" w:color="auto" w:sz="4" w:space="0"/>
              <w:left w:val="nil"/>
              <w:bottom w:val="single" w:color="auto" w:sz="4" w:space="0"/>
              <w:right w:val="single" w:color="auto" w:sz="4" w:space="0"/>
            </w:tcBorders>
            <w:vAlign w:val="center"/>
          </w:tcPr>
          <w:p w14:paraId="70A8C584">
            <w:pPr>
              <w:spacing w:line="300" w:lineRule="exact"/>
              <w:jc w:val="center"/>
              <w:rPr>
                <w:rFonts w:ascii="宋体"/>
                <w:kern w:val="0"/>
              </w:rPr>
            </w:pPr>
            <w:r>
              <w:rPr>
                <w:rFonts w:hint="eastAsia" w:ascii="宋体" w:hAnsi="宋体" w:cs="宋体"/>
                <w:kern w:val="0"/>
              </w:rPr>
              <w:t>1</w:t>
            </w:r>
          </w:p>
        </w:tc>
        <w:tc>
          <w:tcPr>
            <w:tcW w:w="2551" w:type="dxa"/>
            <w:tcBorders>
              <w:top w:val="single" w:color="auto" w:sz="4" w:space="0"/>
              <w:left w:val="nil"/>
              <w:bottom w:val="single" w:color="auto" w:sz="4" w:space="0"/>
              <w:right w:val="single" w:color="auto" w:sz="4" w:space="0"/>
            </w:tcBorders>
            <w:vAlign w:val="center"/>
          </w:tcPr>
          <w:p w14:paraId="15AE3DBC">
            <w:pPr>
              <w:spacing w:line="300" w:lineRule="exact"/>
              <w:rPr>
                <w:rFonts w:ascii="宋体"/>
                <w:kern w:val="0"/>
              </w:rPr>
            </w:pPr>
            <w:r>
              <w:rPr>
                <w:rFonts w:hint="eastAsia" w:ascii="宋体" w:hAnsi="宋体" w:cs="宋体"/>
                <w:kern w:val="0"/>
              </w:rPr>
              <w:t>部门（单位）本年度使用劳务派遣人员数量（含直接聘用的编外人员）与在职人员总数（在编</w:t>
            </w:r>
            <w:r>
              <w:rPr>
                <w:rFonts w:ascii="宋体" w:hAnsi="宋体" w:cs="宋体"/>
                <w:kern w:val="0"/>
              </w:rPr>
              <w:t>+</w:t>
            </w:r>
            <w:r>
              <w:rPr>
                <w:rFonts w:hint="eastAsia" w:ascii="宋体" w:hAnsi="宋体" w:cs="宋体"/>
                <w:kern w:val="0"/>
              </w:rPr>
              <w:t>编外）的比率。</w:t>
            </w:r>
          </w:p>
        </w:tc>
        <w:tc>
          <w:tcPr>
            <w:tcW w:w="7371" w:type="dxa"/>
            <w:tcBorders>
              <w:top w:val="single" w:color="auto" w:sz="4" w:space="0"/>
              <w:left w:val="nil"/>
              <w:bottom w:val="single" w:color="auto" w:sz="4" w:space="0"/>
              <w:right w:val="single" w:color="auto" w:sz="4" w:space="0"/>
            </w:tcBorders>
            <w:vAlign w:val="center"/>
          </w:tcPr>
          <w:p w14:paraId="5883149C">
            <w:pPr>
              <w:spacing w:line="300" w:lineRule="exact"/>
              <w:ind w:firstLine="420" w:firstLineChars="200"/>
              <w:rPr>
                <w:rFonts w:ascii="宋体" w:hAnsi="宋体" w:cs="宋体"/>
                <w:kern w:val="0"/>
              </w:rPr>
            </w:pPr>
            <w:r>
              <w:rPr>
                <w:rFonts w:ascii="宋体" w:hAnsi="宋体" w:cs="宋体"/>
                <w:kern w:val="0"/>
              </w:rPr>
              <w:t>1.</w:t>
            </w:r>
            <w:r>
              <w:rPr>
                <w:rFonts w:hint="eastAsia" w:ascii="宋体" w:hAnsi="宋体" w:cs="宋体"/>
                <w:kern w:val="0"/>
              </w:rPr>
              <w:t>比率＜</w:t>
            </w:r>
            <w:r>
              <w:rPr>
                <w:rFonts w:ascii="宋体" w:hAnsi="宋体" w:cs="宋体"/>
                <w:kern w:val="0"/>
              </w:rPr>
              <w:t>5%</w:t>
            </w:r>
            <w:r>
              <w:rPr>
                <w:rFonts w:hint="eastAsia" w:ascii="宋体" w:hAnsi="宋体" w:cs="宋体"/>
                <w:kern w:val="0"/>
              </w:rPr>
              <w:t>的，得1分；</w:t>
            </w:r>
          </w:p>
          <w:p w14:paraId="37BA912B">
            <w:pPr>
              <w:spacing w:line="300" w:lineRule="exact"/>
              <w:ind w:firstLine="420" w:firstLineChars="200"/>
              <w:rPr>
                <w:rFonts w:ascii="宋体" w:hAnsi="宋体" w:cs="宋体"/>
                <w:kern w:val="0"/>
              </w:rPr>
            </w:pPr>
            <w:r>
              <w:rPr>
                <w:rFonts w:ascii="宋体" w:hAnsi="宋体" w:cs="宋体"/>
                <w:kern w:val="0"/>
              </w:rPr>
              <w:t>2.5%</w:t>
            </w:r>
            <w:r>
              <w:rPr>
                <w:rFonts w:hint="eastAsia" w:ascii="宋体" w:hAnsi="宋体" w:cs="宋体"/>
                <w:kern w:val="0"/>
              </w:rPr>
              <w:t>≤比率≤</w:t>
            </w:r>
            <w:r>
              <w:rPr>
                <w:rFonts w:ascii="宋体" w:hAnsi="宋体" w:cs="宋体"/>
                <w:kern w:val="0"/>
              </w:rPr>
              <w:t>10%</w:t>
            </w:r>
            <w:r>
              <w:rPr>
                <w:rFonts w:hint="eastAsia" w:ascii="宋体" w:hAnsi="宋体" w:cs="宋体"/>
                <w:kern w:val="0"/>
              </w:rPr>
              <w:t>的，得0.5分；</w:t>
            </w:r>
          </w:p>
          <w:p w14:paraId="0B5FF910">
            <w:pPr>
              <w:spacing w:line="300" w:lineRule="exact"/>
              <w:ind w:firstLine="210" w:firstLineChars="100"/>
              <w:rPr>
                <w:rFonts w:ascii="宋体" w:hAnsi="宋体" w:cs="宋体"/>
                <w:kern w:val="0"/>
              </w:rPr>
            </w:pPr>
            <w:r>
              <w:rPr>
                <w:rFonts w:ascii="宋体" w:hAnsi="宋体" w:cs="宋体"/>
                <w:kern w:val="0"/>
              </w:rPr>
              <w:t xml:space="preserve">  3.</w:t>
            </w:r>
            <w:r>
              <w:rPr>
                <w:rFonts w:hint="eastAsia" w:ascii="宋体" w:hAnsi="宋体" w:cs="宋体"/>
                <w:kern w:val="0"/>
              </w:rPr>
              <w:t>比率＞</w:t>
            </w:r>
            <w:r>
              <w:rPr>
                <w:rFonts w:ascii="宋体" w:hAnsi="宋体" w:cs="宋体"/>
                <w:kern w:val="0"/>
              </w:rPr>
              <w:t>10%</w:t>
            </w:r>
            <w:r>
              <w:rPr>
                <w:rFonts w:hint="eastAsia" w:ascii="宋体" w:hAnsi="宋体" w:cs="宋体"/>
                <w:kern w:val="0"/>
              </w:rPr>
              <w:t>的，得</w:t>
            </w:r>
            <w:r>
              <w:rPr>
                <w:rFonts w:ascii="宋体" w:hAnsi="宋体" w:cs="宋体"/>
                <w:kern w:val="0"/>
              </w:rPr>
              <w:t>0</w:t>
            </w:r>
            <w:r>
              <w:rPr>
                <w:rFonts w:hint="eastAsia" w:ascii="宋体" w:hAnsi="宋体" w:cs="宋体"/>
                <w:kern w:val="0"/>
              </w:rPr>
              <w:t>分。</w:t>
            </w:r>
          </w:p>
        </w:tc>
        <w:tc>
          <w:tcPr>
            <w:tcW w:w="851" w:type="dxa"/>
            <w:tcBorders>
              <w:top w:val="single" w:color="auto" w:sz="4" w:space="0"/>
              <w:left w:val="nil"/>
              <w:bottom w:val="single" w:color="auto" w:sz="4" w:space="0"/>
              <w:right w:val="single" w:color="auto" w:sz="4" w:space="0"/>
            </w:tcBorders>
            <w:vAlign w:val="center"/>
          </w:tcPr>
          <w:p w14:paraId="7BE29780">
            <w:pPr>
              <w:spacing w:line="300" w:lineRule="exact"/>
              <w:ind w:firstLine="420" w:firstLineChars="200"/>
              <w:jc w:val="center"/>
              <w:rPr>
                <w:rFonts w:ascii="宋体" w:hAnsi="宋体" w:cs="宋体"/>
                <w:kern w:val="0"/>
              </w:rPr>
            </w:pPr>
            <w:r>
              <w:rPr>
                <w:rFonts w:hint="eastAsia" w:ascii="宋体" w:hAnsi="宋体" w:cs="宋体"/>
                <w:kern w:val="0"/>
              </w:rPr>
              <w:object>
                <v:shape id="_x0000_i1025" o:spt="75" type="#_x0000_t75" style="height:42.75pt;width:249.75pt;" o:ole="t" filled="f" o:preferrelative="t" stroked="f" coordsize="21600,21600">
                  <v:path/>
                  <v:fill on="f" focussize="0,0"/>
                  <v:stroke on="f" joinstyle="miter"/>
                  <v:imagedata r:id="rId5" o:title=""/>
                  <o:lock v:ext="edit" aspectratio="t"/>
                  <w10:wrap type="none"/>
                  <w10:anchorlock/>
                </v:shape>
                <o:OLEObject Type="Embed" ProgID="Package" ShapeID="_x0000_i1025" DrawAspect="Content" ObjectID="_1468075725" r:id="rId4">
                  <o:LockedField>false</o:LockedField>
                </o:OLEObject>
              </w:object>
            </w:r>
            <w:r>
              <w:rPr>
                <w:rFonts w:hint="eastAsia" w:ascii="宋体" w:hAnsi="宋体" w:cs="宋体"/>
                <w:color w:val="FF0000"/>
                <w:kern w:val="0"/>
              </w:rPr>
              <w:t>0</w:t>
            </w:r>
          </w:p>
        </w:tc>
      </w:tr>
      <w:tr w14:paraId="67B9A187">
        <w:tblPrEx>
          <w:tblCellMar>
            <w:top w:w="0" w:type="dxa"/>
            <w:left w:w="108" w:type="dxa"/>
            <w:bottom w:w="0" w:type="dxa"/>
            <w:right w:w="108" w:type="dxa"/>
          </w:tblCellMar>
        </w:tblPrEx>
        <w:trPr>
          <w:trHeight w:val="870" w:hRule="atLeast"/>
        </w:trPr>
        <w:tc>
          <w:tcPr>
            <w:tcW w:w="577" w:type="dxa"/>
            <w:vMerge w:val="continue"/>
            <w:tcBorders>
              <w:top w:val="nil"/>
              <w:left w:val="single" w:color="auto" w:sz="4" w:space="0"/>
              <w:bottom w:val="single" w:color="auto" w:sz="4" w:space="0"/>
              <w:right w:val="single" w:color="auto" w:sz="4" w:space="0"/>
            </w:tcBorders>
            <w:vAlign w:val="center"/>
          </w:tcPr>
          <w:p w14:paraId="74CDC799">
            <w:pPr>
              <w:spacing w:line="320" w:lineRule="exact"/>
              <w:rPr>
                <w:rFonts w:ascii="宋体"/>
                <w:kern w:val="0"/>
              </w:rPr>
            </w:pPr>
          </w:p>
        </w:tc>
        <w:tc>
          <w:tcPr>
            <w:tcW w:w="508" w:type="dxa"/>
            <w:vMerge w:val="continue"/>
            <w:tcBorders>
              <w:top w:val="nil"/>
              <w:left w:val="single" w:color="auto" w:sz="4" w:space="0"/>
              <w:bottom w:val="single" w:color="auto" w:sz="4" w:space="0"/>
              <w:right w:val="single" w:color="auto" w:sz="4" w:space="0"/>
            </w:tcBorders>
            <w:vAlign w:val="center"/>
          </w:tcPr>
          <w:p w14:paraId="156F3BDC">
            <w:pPr>
              <w:spacing w:line="320" w:lineRule="exact"/>
              <w:rPr>
                <w:rFonts w:ascii="宋体"/>
                <w:kern w:val="0"/>
              </w:rPr>
            </w:pPr>
          </w:p>
        </w:tc>
        <w:tc>
          <w:tcPr>
            <w:tcW w:w="547" w:type="dxa"/>
            <w:tcBorders>
              <w:top w:val="nil"/>
              <w:left w:val="nil"/>
              <w:bottom w:val="single" w:color="auto" w:sz="4" w:space="0"/>
              <w:right w:val="single" w:color="auto" w:sz="4" w:space="0"/>
            </w:tcBorders>
            <w:vAlign w:val="center"/>
          </w:tcPr>
          <w:p w14:paraId="67582363">
            <w:pPr>
              <w:spacing w:line="320" w:lineRule="exact"/>
              <w:rPr>
                <w:rFonts w:ascii="宋体"/>
                <w:kern w:val="0"/>
              </w:rPr>
            </w:pPr>
            <w:r>
              <w:rPr>
                <w:rFonts w:hint="eastAsia" w:ascii="宋体" w:hAnsi="宋体" w:cs="宋体"/>
                <w:kern w:val="0"/>
              </w:rPr>
              <w:t>制度管理</w:t>
            </w:r>
          </w:p>
        </w:tc>
        <w:tc>
          <w:tcPr>
            <w:tcW w:w="571" w:type="dxa"/>
            <w:tcBorders>
              <w:top w:val="nil"/>
              <w:left w:val="nil"/>
              <w:bottom w:val="single" w:color="auto" w:sz="4" w:space="0"/>
              <w:right w:val="single" w:color="auto" w:sz="4" w:space="0"/>
            </w:tcBorders>
            <w:vAlign w:val="center"/>
          </w:tcPr>
          <w:p w14:paraId="3B527D35">
            <w:pPr>
              <w:spacing w:line="320" w:lineRule="exact"/>
              <w:jc w:val="center"/>
              <w:rPr>
                <w:rFonts w:ascii="宋体"/>
                <w:kern w:val="0"/>
              </w:rPr>
            </w:pPr>
            <w:r>
              <w:rPr>
                <w:rFonts w:hint="eastAsia" w:ascii="宋体" w:hAnsi="宋体" w:cs="宋体"/>
                <w:kern w:val="0"/>
              </w:rPr>
              <w:t>3</w:t>
            </w:r>
          </w:p>
        </w:tc>
        <w:tc>
          <w:tcPr>
            <w:tcW w:w="705" w:type="dxa"/>
            <w:tcBorders>
              <w:top w:val="nil"/>
              <w:left w:val="nil"/>
              <w:bottom w:val="single" w:color="auto" w:sz="4" w:space="0"/>
              <w:right w:val="single" w:color="auto" w:sz="4" w:space="0"/>
            </w:tcBorders>
            <w:vAlign w:val="center"/>
          </w:tcPr>
          <w:p w14:paraId="669A37D6">
            <w:pPr>
              <w:spacing w:line="300" w:lineRule="exact"/>
              <w:rPr>
                <w:rFonts w:ascii="宋体"/>
                <w:kern w:val="0"/>
              </w:rPr>
            </w:pPr>
            <w:r>
              <w:rPr>
                <w:rFonts w:hint="eastAsia" w:ascii="宋体" w:hAnsi="宋体" w:cs="宋体"/>
                <w:kern w:val="0"/>
              </w:rPr>
              <w:t>管理制度健全性</w:t>
            </w:r>
          </w:p>
        </w:tc>
        <w:tc>
          <w:tcPr>
            <w:tcW w:w="567" w:type="dxa"/>
            <w:tcBorders>
              <w:top w:val="nil"/>
              <w:left w:val="nil"/>
              <w:bottom w:val="single" w:color="auto" w:sz="4" w:space="0"/>
              <w:right w:val="single" w:color="auto" w:sz="4" w:space="0"/>
            </w:tcBorders>
            <w:vAlign w:val="center"/>
          </w:tcPr>
          <w:p w14:paraId="455D07ED">
            <w:pPr>
              <w:spacing w:line="300" w:lineRule="exact"/>
              <w:jc w:val="center"/>
              <w:rPr>
                <w:rFonts w:ascii="宋体"/>
                <w:kern w:val="0"/>
              </w:rPr>
            </w:pPr>
            <w:r>
              <w:rPr>
                <w:rFonts w:hint="eastAsia" w:ascii="宋体" w:hAnsi="宋体" w:cs="宋体"/>
                <w:kern w:val="0"/>
              </w:rPr>
              <w:t>3</w:t>
            </w:r>
          </w:p>
        </w:tc>
        <w:tc>
          <w:tcPr>
            <w:tcW w:w="2551" w:type="dxa"/>
            <w:tcBorders>
              <w:top w:val="nil"/>
              <w:left w:val="nil"/>
              <w:bottom w:val="single" w:color="auto" w:sz="4" w:space="0"/>
              <w:right w:val="single" w:color="auto" w:sz="4" w:space="0"/>
            </w:tcBorders>
            <w:vAlign w:val="center"/>
          </w:tcPr>
          <w:p w14:paraId="1D05DA41">
            <w:pPr>
              <w:spacing w:line="300" w:lineRule="exact"/>
              <w:rPr>
                <w:rFonts w:ascii="宋体"/>
                <w:kern w:val="0"/>
              </w:rPr>
            </w:pPr>
            <w:r>
              <w:rPr>
                <w:rFonts w:hint="eastAsia" w:ascii="宋体" w:hAnsi="宋体" w:cs="宋体"/>
                <w:kern w:val="0"/>
              </w:rPr>
              <w:t>部门（单位）制定了相应的预算资金、财务管理和预算绩效管理等制度并严格执行，用以反映部门（单位）的管理制度对其完成主要职责和促进事业发展的保障情况。</w:t>
            </w:r>
          </w:p>
        </w:tc>
        <w:tc>
          <w:tcPr>
            <w:tcW w:w="7371" w:type="dxa"/>
            <w:tcBorders>
              <w:top w:val="nil"/>
              <w:left w:val="nil"/>
              <w:bottom w:val="single" w:color="auto" w:sz="4" w:space="0"/>
              <w:right w:val="single" w:color="auto" w:sz="4" w:space="0"/>
            </w:tcBorders>
            <w:vAlign w:val="center"/>
          </w:tcPr>
          <w:p w14:paraId="0492AA36">
            <w:pPr>
              <w:spacing w:line="300" w:lineRule="exact"/>
              <w:ind w:firstLine="420" w:firstLineChars="200"/>
              <w:rPr>
                <w:rFonts w:ascii="宋体" w:hAnsi="宋体" w:cs="宋体"/>
                <w:kern w:val="0"/>
              </w:rPr>
            </w:pPr>
            <w:r>
              <w:rPr>
                <w:rFonts w:ascii="宋体" w:hAnsi="宋体" w:cs="宋体"/>
                <w:kern w:val="0"/>
              </w:rPr>
              <w:t>1.</w:t>
            </w:r>
            <w:r>
              <w:rPr>
                <w:rFonts w:hint="eastAsia" w:ascii="宋体" w:hAnsi="宋体" w:cs="宋体"/>
                <w:kern w:val="0"/>
              </w:rPr>
              <w:t>部门制定了财政资金管理、财务管理、内部控制等制度（0.5分）；</w:t>
            </w:r>
          </w:p>
          <w:p w14:paraId="09988EBF">
            <w:pPr>
              <w:spacing w:line="300" w:lineRule="exact"/>
              <w:ind w:firstLine="420" w:firstLineChars="200"/>
              <w:rPr>
                <w:rFonts w:ascii="宋体" w:hAnsi="宋体" w:cs="宋体"/>
                <w:kern w:val="0"/>
              </w:rPr>
            </w:pPr>
            <w:r>
              <w:rPr>
                <w:rFonts w:ascii="宋体" w:hAnsi="宋体" w:cs="宋体"/>
                <w:kern w:val="0"/>
              </w:rPr>
              <w:t>2.</w:t>
            </w:r>
            <w:r>
              <w:rPr>
                <w:rFonts w:hint="eastAsia" w:ascii="宋体" w:hAnsi="宋体" w:cs="宋体"/>
                <w:kern w:val="0"/>
              </w:rPr>
              <w:t>上述财政资金管理、财务管理、内部控制等制度得到有效执行（1.5分）；</w:t>
            </w:r>
          </w:p>
          <w:p w14:paraId="3CA8E08C">
            <w:pPr>
              <w:spacing w:line="300" w:lineRule="exact"/>
              <w:ind w:firstLine="420" w:firstLineChars="200"/>
              <w:rPr>
                <w:rFonts w:ascii="宋体" w:hAnsi="宋体" w:cs="宋体"/>
                <w:kern w:val="0"/>
              </w:rPr>
            </w:pPr>
            <w:r>
              <w:rPr>
                <w:rFonts w:ascii="宋体" w:hAnsi="宋体" w:cs="宋体"/>
                <w:kern w:val="0"/>
              </w:rPr>
              <w:t xml:space="preserve">    3.</w:t>
            </w:r>
            <w:r>
              <w:rPr>
                <w:rFonts w:hint="eastAsia" w:ascii="宋体" w:hAnsi="宋体" w:cs="宋体"/>
                <w:kern w:val="0"/>
              </w:rPr>
              <w:t>部门按照预算和绩效管理一体化的要求制定我局全面实施预算绩效管理的制度或工作方案，组织指导本级及下属单位开展事前评估、绩效目标编报、绩效监控、绩效评价和评价结果应用等工作（</w:t>
            </w:r>
            <w:r>
              <w:rPr>
                <w:rFonts w:ascii="宋体" w:hAnsi="宋体" w:cs="宋体"/>
                <w:kern w:val="0"/>
              </w:rPr>
              <w:t>1</w:t>
            </w:r>
            <w:r>
              <w:rPr>
                <w:rFonts w:hint="eastAsia" w:ascii="宋体" w:hAnsi="宋体" w:cs="宋体"/>
                <w:kern w:val="0"/>
              </w:rPr>
              <w:t>分）。</w:t>
            </w:r>
          </w:p>
        </w:tc>
        <w:tc>
          <w:tcPr>
            <w:tcW w:w="851" w:type="dxa"/>
            <w:tcBorders>
              <w:top w:val="nil"/>
              <w:left w:val="nil"/>
              <w:bottom w:val="single" w:color="auto" w:sz="4" w:space="0"/>
              <w:right w:val="single" w:color="auto" w:sz="4" w:space="0"/>
            </w:tcBorders>
            <w:vAlign w:val="center"/>
          </w:tcPr>
          <w:p w14:paraId="35BB2650">
            <w:pPr>
              <w:spacing w:line="300" w:lineRule="exact"/>
              <w:jc w:val="center"/>
              <w:rPr>
                <w:rFonts w:ascii="宋体" w:hAnsi="宋体" w:cs="宋体"/>
                <w:kern w:val="0"/>
              </w:rPr>
            </w:pPr>
            <w:r>
              <w:rPr>
                <w:rFonts w:hint="eastAsia" w:ascii="宋体" w:hAnsi="宋体" w:cs="宋体"/>
                <w:kern w:val="0"/>
              </w:rPr>
              <w:t>3</w:t>
            </w:r>
          </w:p>
        </w:tc>
      </w:tr>
      <w:tr w14:paraId="278A7A92">
        <w:tblPrEx>
          <w:tblCellMar>
            <w:top w:w="0" w:type="dxa"/>
            <w:left w:w="108" w:type="dxa"/>
            <w:bottom w:w="0" w:type="dxa"/>
            <w:right w:w="108" w:type="dxa"/>
          </w:tblCellMar>
        </w:tblPrEx>
        <w:trPr>
          <w:trHeight w:val="360" w:hRule="atLeast"/>
        </w:trPr>
        <w:tc>
          <w:tcPr>
            <w:tcW w:w="577" w:type="dxa"/>
            <w:vMerge w:val="restart"/>
            <w:tcBorders>
              <w:top w:val="nil"/>
              <w:left w:val="single" w:color="auto" w:sz="4" w:space="0"/>
              <w:bottom w:val="single" w:color="auto" w:sz="4" w:space="0"/>
              <w:right w:val="single" w:color="auto" w:sz="4" w:space="0"/>
            </w:tcBorders>
            <w:vAlign w:val="center"/>
          </w:tcPr>
          <w:p w14:paraId="5776A969">
            <w:pPr>
              <w:spacing w:line="320" w:lineRule="exact"/>
              <w:rPr>
                <w:rFonts w:ascii="宋体"/>
                <w:kern w:val="0"/>
              </w:rPr>
            </w:pPr>
            <w:r>
              <w:rPr>
                <w:rFonts w:hint="eastAsia" w:ascii="宋体" w:hAnsi="宋体" w:cs="宋体"/>
                <w:kern w:val="0"/>
              </w:rPr>
              <w:t>部门绩效</w:t>
            </w:r>
          </w:p>
        </w:tc>
        <w:tc>
          <w:tcPr>
            <w:tcW w:w="508" w:type="dxa"/>
            <w:vMerge w:val="restart"/>
            <w:tcBorders>
              <w:top w:val="nil"/>
              <w:left w:val="single" w:color="auto" w:sz="4" w:space="0"/>
              <w:bottom w:val="single" w:color="auto" w:sz="4" w:space="0"/>
              <w:right w:val="single" w:color="auto" w:sz="4" w:space="0"/>
            </w:tcBorders>
            <w:vAlign w:val="center"/>
          </w:tcPr>
          <w:p w14:paraId="7E4DF429">
            <w:pPr>
              <w:spacing w:line="320" w:lineRule="exact"/>
              <w:rPr>
                <w:rFonts w:ascii="宋体"/>
                <w:kern w:val="0"/>
              </w:rPr>
            </w:pPr>
            <w:r>
              <w:rPr>
                <w:rFonts w:ascii="宋体" w:hAnsi="宋体" w:cs="宋体"/>
                <w:kern w:val="0"/>
              </w:rPr>
              <w:t>60</w:t>
            </w:r>
          </w:p>
        </w:tc>
        <w:tc>
          <w:tcPr>
            <w:tcW w:w="547" w:type="dxa"/>
            <w:tcBorders>
              <w:top w:val="nil"/>
              <w:left w:val="nil"/>
              <w:bottom w:val="single" w:color="auto" w:sz="4" w:space="0"/>
              <w:right w:val="single" w:color="auto" w:sz="4" w:space="0"/>
            </w:tcBorders>
            <w:vAlign w:val="center"/>
          </w:tcPr>
          <w:p w14:paraId="0F9CD2FE">
            <w:pPr>
              <w:spacing w:line="320" w:lineRule="exact"/>
              <w:rPr>
                <w:rFonts w:ascii="宋体"/>
                <w:kern w:val="0"/>
              </w:rPr>
            </w:pPr>
            <w:r>
              <w:rPr>
                <w:rFonts w:hint="eastAsia" w:ascii="宋体" w:hAnsi="宋体" w:cs="宋体"/>
                <w:kern w:val="0"/>
              </w:rPr>
              <w:t>经济性</w:t>
            </w:r>
          </w:p>
        </w:tc>
        <w:tc>
          <w:tcPr>
            <w:tcW w:w="571" w:type="dxa"/>
            <w:tcBorders>
              <w:top w:val="nil"/>
              <w:left w:val="nil"/>
              <w:bottom w:val="single" w:color="auto" w:sz="4" w:space="0"/>
              <w:right w:val="single" w:color="auto" w:sz="4" w:space="0"/>
            </w:tcBorders>
            <w:vAlign w:val="center"/>
          </w:tcPr>
          <w:p w14:paraId="0E5704C3">
            <w:pPr>
              <w:spacing w:line="320" w:lineRule="exact"/>
              <w:jc w:val="center"/>
              <w:rPr>
                <w:rFonts w:ascii="宋体"/>
                <w:kern w:val="0"/>
              </w:rPr>
            </w:pPr>
            <w:r>
              <w:rPr>
                <w:rFonts w:ascii="宋体" w:hAnsi="宋体" w:cs="宋体"/>
                <w:kern w:val="0"/>
              </w:rPr>
              <w:t>6</w:t>
            </w:r>
          </w:p>
        </w:tc>
        <w:tc>
          <w:tcPr>
            <w:tcW w:w="705" w:type="dxa"/>
            <w:tcBorders>
              <w:top w:val="nil"/>
              <w:left w:val="nil"/>
              <w:bottom w:val="single" w:color="auto" w:sz="4" w:space="0"/>
              <w:right w:val="single" w:color="auto" w:sz="4" w:space="0"/>
            </w:tcBorders>
            <w:vAlign w:val="center"/>
          </w:tcPr>
          <w:p w14:paraId="3B5E5FF1">
            <w:pPr>
              <w:spacing w:line="320" w:lineRule="exact"/>
              <w:rPr>
                <w:rFonts w:ascii="宋体"/>
                <w:kern w:val="0"/>
              </w:rPr>
            </w:pPr>
            <w:r>
              <w:rPr>
                <w:rFonts w:hint="eastAsia" w:ascii="宋体" w:hAnsi="宋体" w:cs="宋体"/>
                <w:kern w:val="0"/>
              </w:rPr>
              <w:t>公用经费控制率</w:t>
            </w:r>
          </w:p>
        </w:tc>
        <w:tc>
          <w:tcPr>
            <w:tcW w:w="567" w:type="dxa"/>
            <w:tcBorders>
              <w:top w:val="nil"/>
              <w:left w:val="nil"/>
              <w:bottom w:val="single" w:color="auto" w:sz="4" w:space="0"/>
              <w:right w:val="single" w:color="auto" w:sz="4" w:space="0"/>
            </w:tcBorders>
            <w:vAlign w:val="center"/>
          </w:tcPr>
          <w:p w14:paraId="2E9375BF">
            <w:pPr>
              <w:spacing w:line="320" w:lineRule="exact"/>
              <w:jc w:val="center"/>
              <w:rPr>
                <w:rFonts w:ascii="宋体"/>
                <w:kern w:val="0"/>
              </w:rPr>
            </w:pPr>
            <w:r>
              <w:rPr>
                <w:rFonts w:ascii="宋体" w:hAnsi="宋体" w:cs="宋体"/>
                <w:kern w:val="0"/>
              </w:rPr>
              <w:t>6</w:t>
            </w:r>
          </w:p>
        </w:tc>
        <w:tc>
          <w:tcPr>
            <w:tcW w:w="2551" w:type="dxa"/>
            <w:tcBorders>
              <w:top w:val="nil"/>
              <w:left w:val="nil"/>
              <w:bottom w:val="single" w:color="auto" w:sz="4" w:space="0"/>
              <w:right w:val="single" w:color="auto" w:sz="4" w:space="0"/>
            </w:tcBorders>
            <w:vAlign w:val="center"/>
          </w:tcPr>
          <w:p w14:paraId="6A18E804">
            <w:pPr>
              <w:spacing w:line="320" w:lineRule="exact"/>
              <w:rPr>
                <w:rFonts w:ascii="宋体"/>
                <w:kern w:val="0"/>
              </w:rPr>
            </w:pPr>
            <w:r>
              <w:rPr>
                <w:rFonts w:hint="eastAsia" w:ascii="宋体" w:hAnsi="宋体" w:cs="宋体"/>
                <w:kern w:val="0"/>
              </w:rPr>
              <w:t>部门（单位）本年度实际支出的公用经费总额与预算安排的公用经费总额的比率，用以反映和考核部门（单位）对机构运转成本的实际控制程度。</w:t>
            </w:r>
          </w:p>
        </w:tc>
        <w:tc>
          <w:tcPr>
            <w:tcW w:w="7371" w:type="dxa"/>
            <w:tcBorders>
              <w:top w:val="nil"/>
              <w:left w:val="nil"/>
              <w:bottom w:val="single" w:color="auto" w:sz="4" w:space="0"/>
              <w:right w:val="single" w:color="auto" w:sz="4" w:space="0"/>
            </w:tcBorders>
            <w:vAlign w:val="center"/>
          </w:tcPr>
          <w:p w14:paraId="5889D42B">
            <w:pPr>
              <w:spacing w:line="300" w:lineRule="exact"/>
              <w:ind w:firstLine="420" w:firstLineChars="200"/>
              <w:rPr>
                <w:rFonts w:ascii="宋体" w:hAnsi="宋体" w:cs="宋体"/>
                <w:kern w:val="0"/>
              </w:rPr>
            </w:pPr>
            <w:r>
              <w:rPr>
                <w:rFonts w:ascii="宋体" w:hAnsi="宋体" w:cs="宋体"/>
                <w:kern w:val="0"/>
              </w:rPr>
              <w:t>1.</w:t>
            </w:r>
            <w:r>
              <w:rPr>
                <w:rFonts w:hint="eastAsia" w:ascii="宋体" w:hAnsi="宋体" w:cs="宋体"/>
                <w:kern w:val="0"/>
              </w:rPr>
              <w:t>“三公”经费控制率=“三公”经费实际支出数/“三公”经费预算安排数×</w:t>
            </w:r>
            <w:r>
              <w:rPr>
                <w:rFonts w:ascii="宋体" w:hAnsi="宋体" w:cs="宋体"/>
                <w:kern w:val="0"/>
              </w:rPr>
              <w:t>100%</w:t>
            </w:r>
          </w:p>
          <w:p w14:paraId="3A9D52FB">
            <w:pPr>
              <w:spacing w:line="300" w:lineRule="exact"/>
              <w:ind w:firstLine="420" w:firstLineChars="200"/>
              <w:rPr>
                <w:rFonts w:ascii="宋体" w:hAnsi="宋体" w:cs="宋体"/>
                <w:kern w:val="0"/>
              </w:rPr>
            </w:pPr>
            <w:r>
              <w:rPr>
                <w:rFonts w:hint="eastAsia" w:ascii="宋体" w:hAnsi="宋体" w:cs="宋体"/>
                <w:kern w:val="0"/>
              </w:rPr>
              <w:t>（1）“三公”经费控制率＜90%的，得3分；</w:t>
            </w:r>
          </w:p>
          <w:p w14:paraId="40854D76">
            <w:pPr>
              <w:spacing w:line="300" w:lineRule="exact"/>
              <w:ind w:firstLine="420" w:firstLineChars="200"/>
              <w:rPr>
                <w:rFonts w:ascii="宋体" w:hAnsi="宋体" w:cs="宋体"/>
                <w:kern w:val="0"/>
              </w:rPr>
            </w:pPr>
            <w:r>
              <w:rPr>
                <w:rFonts w:hint="eastAsia" w:ascii="宋体" w:hAnsi="宋体" w:cs="宋体"/>
                <w:kern w:val="0"/>
              </w:rPr>
              <w:t>（2）90%≤“三公”经费控制率≤100%的，得2分；</w:t>
            </w:r>
          </w:p>
          <w:p w14:paraId="54F97F62">
            <w:pPr>
              <w:spacing w:line="300" w:lineRule="exact"/>
              <w:ind w:firstLine="420" w:firstLineChars="200"/>
              <w:rPr>
                <w:rFonts w:ascii="宋体" w:hAnsi="宋体" w:cs="宋体"/>
                <w:kern w:val="0"/>
              </w:rPr>
            </w:pPr>
            <w:r>
              <w:rPr>
                <w:rFonts w:hint="eastAsia" w:ascii="宋体" w:hAnsi="宋体" w:cs="宋体"/>
                <w:kern w:val="0"/>
              </w:rPr>
              <w:t>（3）“三公”经费控制率＞100%的，得0分。</w:t>
            </w:r>
          </w:p>
          <w:p w14:paraId="0298B270">
            <w:pPr>
              <w:spacing w:line="300" w:lineRule="exact"/>
              <w:ind w:firstLine="420" w:firstLineChars="200"/>
              <w:rPr>
                <w:rFonts w:ascii="宋体" w:hAnsi="宋体" w:cs="宋体"/>
                <w:kern w:val="0"/>
              </w:rPr>
            </w:pPr>
            <w:r>
              <w:rPr>
                <w:rFonts w:ascii="宋体" w:hAnsi="宋体" w:cs="宋体"/>
                <w:kern w:val="0"/>
              </w:rPr>
              <w:t xml:space="preserve">    2.</w:t>
            </w:r>
            <w:r>
              <w:rPr>
                <w:rFonts w:hint="eastAsia" w:ascii="宋体" w:hAnsi="宋体" w:cs="宋体"/>
                <w:kern w:val="0"/>
              </w:rPr>
              <w:t xml:space="preserve"> 日常公用经费控制率=日常公用经费决算数/日常公用经费调整预算数×</w:t>
            </w:r>
            <w:r>
              <w:rPr>
                <w:rFonts w:ascii="宋体" w:hAnsi="宋体" w:cs="宋体"/>
                <w:kern w:val="0"/>
              </w:rPr>
              <w:t>100%</w:t>
            </w:r>
          </w:p>
          <w:p w14:paraId="37023261">
            <w:pPr>
              <w:spacing w:line="300" w:lineRule="exact"/>
              <w:ind w:firstLine="420" w:firstLineChars="200"/>
              <w:rPr>
                <w:rFonts w:ascii="宋体" w:hAnsi="宋体" w:cs="宋体"/>
                <w:kern w:val="0"/>
              </w:rPr>
            </w:pPr>
            <w:r>
              <w:rPr>
                <w:rFonts w:hint="eastAsia" w:ascii="宋体" w:hAnsi="宋体" w:cs="宋体"/>
                <w:kern w:val="0"/>
              </w:rPr>
              <w:t>（1）日常公用经费控制率＜90%的，得3分；</w:t>
            </w:r>
          </w:p>
          <w:p w14:paraId="6A5375DA">
            <w:pPr>
              <w:spacing w:line="300" w:lineRule="exact"/>
              <w:ind w:firstLine="420" w:firstLineChars="200"/>
              <w:rPr>
                <w:rFonts w:ascii="宋体" w:hAnsi="宋体" w:cs="宋体"/>
                <w:kern w:val="0"/>
              </w:rPr>
            </w:pPr>
            <w:r>
              <w:rPr>
                <w:rFonts w:hint="eastAsia" w:ascii="宋体" w:hAnsi="宋体" w:cs="宋体"/>
                <w:kern w:val="0"/>
              </w:rPr>
              <w:t>（2）90%≤日常公用经费控制率≤100%的，得2分；</w:t>
            </w:r>
          </w:p>
          <w:p w14:paraId="1EDD0909">
            <w:pPr>
              <w:spacing w:line="300" w:lineRule="exact"/>
              <w:ind w:firstLine="420" w:firstLineChars="200"/>
              <w:rPr>
                <w:rFonts w:ascii="宋体" w:hAnsi="宋体" w:cs="宋体"/>
                <w:kern w:val="0"/>
              </w:rPr>
            </w:pPr>
            <w:r>
              <w:rPr>
                <w:rFonts w:hint="eastAsia" w:ascii="宋体" w:hAnsi="宋体" w:cs="宋体"/>
                <w:kern w:val="0"/>
              </w:rPr>
              <w:t>（3）日常公用经费控制率＞100%的，得0分。</w:t>
            </w:r>
          </w:p>
        </w:tc>
        <w:tc>
          <w:tcPr>
            <w:tcW w:w="851" w:type="dxa"/>
            <w:tcBorders>
              <w:top w:val="nil"/>
              <w:left w:val="nil"/>
              <w:bottom w:val="single" w:color="auto" w:sz="4" w:space="0"/>
              <w:right w:val="single" w:color="auto" w:sz="4" w:space="0"/>
            </w:tcBorders>
            <w:vAlign w:val="center"/>
          </w:tcPr>
          <w:p w14:paraId="20B053C5">
            <w:pPr>
              <w:spacing w:line="300" w:lineRule="exact"/>
              <w:jc w:val="center"/>
              <w:rPr>
                <w:rFonts w:ascii="宋体" w:hAnsi="宋体" w:cs="宋体"/>
                <w:kern w:val="0"/>
              </w:rPr>
            </w:pPr>
            <w:r>
              <w:rPr>
                <w:rFonts w:hint="eastAsia" w:ascii="宋体" w:hAnsi="宋体" w:cs="宋体"/>
                <w:kern w:val="0"/>
              </w:rPr>
              <w:t>6</w:t>
            </w:r>
          </w:p>
        </w:tc>
      </w:tr>
      <w:tr w14:paraId="6D40E94B">
        <w:tblPrEx>
          <w:tblCellMar>
            <w:top w:w="0" w:type="dxa"/>
            <w:left w:w="108" w:type="dxa"/>
            <w:bottom w:w="0" w:type="dxa"/>
            <w:right w:w="108" w:type="dxa"/>
          </w:tblCellMar>
        </w:tblPrEx>
        <w:trPr>
          <w:trHeight w:val="1035" w:hRule="atLeast"/>
        </w:trPr>
        <w:tc>
          <w:tcPr>
            <w:tcW w:w="577" w:type="dxa"/>
            <w:vMerge w:val="continue"/>
            <w:tcBorders>
              <w:top w:val="nil"/>
              <w:left w:val="single" w:color="auto" w:sz="4" w:space="0"/>
              <w:bottom w:val="single" w:color="auto" w:sz="4" w:space="0"/>
              <w:right w:val="single" w:color="auto" w:sz="4" w:space="0"/>
            </w:tcBorders>
            <w:vAlign w:val="center"/>
          </w:tcPr>
          <w:p w14:paraId="068CE9E4">
            <w:pPr>
              <w:spacing w:line="320" w:lineRule="exact"/>
              <w:rPr>
                <w:rFonts w:ascii="宋体"/>
                <w:kern w:val="0"/>
              </w:rPr>
            </w:pPr>
          </w:p>
        </w:tc>
        <w:tc>
          <w:tcPr>
            <w:tcW w:w="508" w:type="dxa"/>
            <w:vMerge w:val="continue"/>
            <w:tcBorders>
              <w:top w:val="nil"/>
              <w:left w:val="single" w:color="auto" w:sz="4" w:space="0"/>
              <w:bottom w:val="single" w:color="auto" w:sz="4" w:space="0"/>
              <w:right w:val="single" w:color="auto" w:sz="4" w:space="0"/>
            </w:tcBorders>
            <w:vAlign w:val="center"/>
          </w:tcPr>
          <w:p w14:paraId="66F581CE">
            <w:pPr>
              <w:spacing w:line="320" w:lineRule="exact"/>
              <w:rPr>
                <w:rFonts w:ascii="宋体"/>
                <w:kern w:val="0"/>
              </w:rPr>
            </w:pPr>
          </w:p>
        </w:tc>
        <w:tc>
          <w:tcPr>
            <w:tcW w:w="547" w:type="dxa"/>
            <w:vMerge w:val="restart"/>
            <w:tcBorders>
              <w:top w:val="single" w:color="auto" w:sz="4" w:space="0"/>
              <w:left w:val="single" w:color="auto" w:sz="4" w:space="0"/>
              <w:bottom w:val="single" w:color="auto" w:sz="4" w:space="0"/>
              <w:right w:val="single" w:color="auto" w:sz="4" w:space="0"/>
            </w:tcBorders>
            <w:vAlign w:val="center"/>
          </w:tcPr>
          <w:p w14:paraId="73819B97">
            <w:pPr>
              <w:spacing w:line="320" w:lineRule="exact"/>
              <w:rPr>
                <w:rFonts w:ascii="宋体"/>
                <w:kern w:val="0"/>
              </w:rPr>
            </w:pPr>
            <w:r>
              <w:rPr>
                <w:rFonts w:hint="eastAsia" w:ascii="宋体" w:hAnsi="宋体" w:cs="宋体"/>
                <w:kern w:val="0"/>
              </w:rPr>
              <w:t>效率性</w:t>
            </w:r>
          </w:p>
        </w:tc>
        <w:tc>
          <w:tcPr>
            <w:tcW w:w="571" w:type="dxa"/>
            <w:vMerge w:val="restart"/>
            <w:tcBorders>
              <w:top w:val="single" w:color="auto" w:sz="4" w:space="0"/>
              <w:left w:val="single" w:color="auto" w:sz="4" w:space="0"/>
              <w:bottom w:val="single" w:color="auto" w:sz="4" w:space="0"/>
              <w:right w:val="single" w:color="auto" w:sz="4" w:space="0"/>
            </w:tcBorders>
            <w:vAlign w:val="center"/>
          </w:tcPr>
          <w:p w14:paraId="4E3AF54D">
            <w:pPr>
              <w:spacing w:line="320" w:lineRule="exact"/>
              <w:jc w:val="center"/>
              <w:rPr>
                <w:rFonts w:ascii="宋体"/>
                <w:kern w:val="0"/>
              </w:rPr>
            </w:pPr>
            <w:r>
              <w:rPr>
                <w:rFonts w:hint="eastAsia" w:ascii="宋体" w:hAnsi="宋体" w:cs="宋体"/>
                <w:kern w:val="0"/>
              </w:rPr>
              <w:t>20</w:t>
            </w:r>
          </w:p>
        </w:tc>
        <w:tc>
          <w:tcPr>
            <w:tcW w:w="705" w:type="dxa"/>
            <w:tcBorders>
              <w:top w:val="nil"/>
              <w:left w:val="nil"/>
              <w:bottom w:val="single" w:color="auto" w:sz="4" w:space="0"/>
              <w:right w:val="single" w:color="auto" w:sz="4" w:space="0"/>
            </w:tcBorders>
            <w:vAlign w:val="center"/>
          </w:tcPr>
          <w:p w14:paraId="46E17825">
            <w:pPr>
              <w:spacing w:line="320" w:lineRule="exact"/>
              <w:rPr>
                <w:rFonts w:ascii="宋体"/>
                <w:kern w:val="0"/>
              </w:rPr>
            </w:pPr>
            <w:r>
              <w:rPr>
                <w:rFonts w:hint="eastAsia" w:ascii="宋体" w:hAnsi="宋体" w:cs="宋体"/>
                <w:kern w:val="0"/>
              </w:rPr>
              <w:t>预算执行率</w:t>
            </w:r>
          </w:p>
        </w:tc>
        <w:tc>
          <w:tcPr>
            <w:tcW w:w="567" w:type="dxa"/>
            <w:tcBorders>
              <w:top w:val="nil"/>
              <w:left w:val="nil"/>
              <w:bottom w:val="single" w:color="auto" w:sz="4" w:space="0"/>
              <w:right w:val="single" w:color="auto" w:sz="4" w:space="0"/>
            </w:tcBorders>
            <w:vAlign w:val="center"/>
          </w:tcPr>
          <w:p w14:paraId="52CAEFDE">
            <w:pPr>
              <w:spacing w:line="320" w:lineRule="exact"/>
              <w:jc w:val="center"/>
              <w:rPr>
                <w:rFonts w:ascii="宋体"/>
                <w:kern w:val="0"/>
              </w:rPr>
            </w:pPr>
            <w:r>
              <w:rPr>
                <w:rFonts w:ascii="宋体" w:hAnsi="宋体" w:cs="宋体"/>
                <w:kern w:val="0"/>
              </w:rPr>
              <w:t>6</w:t>
            </w:r>
          </w:p>
        </w:tc>
        <w:tc>
          <w:tcPr>
            <w:tcW w:w="2551" w:type="dxa"/>
            <w:tcBorders>
              <w:top w:val="nil"/>
              <w:left w:val="nil"/>
              <w:bottom w:val="single" w:color="auto" w:sz="4" w:space="0"/>
              <w:right w:val="single" w:color="auto" w:sz="4" w:space="0"/>
            </w:tcBorders>
            <w:vAlign w:val="center"/>
          </w:tcPr>
          <w:p w14:paraId="4E60FBFA">
            <w:pPr>
              <w:spacing w:line="320" w:lineRule="exact"/>
              <w:rPr>
                <w:rFonts w:ascii="宋体"/>
                <w:kern w:val="0"/>
              </w:rPr>
            </w:pPr>
            <w:r>
              <w:rPr>
                <w:rFonts w:hint="eastAsia" w:ascii="宋体" w:hAnsi="宋体" w:cs="宋体"/>
                <w:kern w:val="0"/>
              </w:rPr>
              <w:t>部门（单位）部门预算实际支付进度和既定支付进度的匹配情况，反映和考核部门（单位）预算执行的及时性和均衡性。</w:t>
            </w:r>
          </w:p>
        </w:tc>
        <w:tc>
          <w:tcPr>
            <w:tcW w:w="7371" w:type="dxa"/>
            <w:tcBorders>
              <w:top w:val="nil"/>
              <w:left w:val="nil"/>
              <w:bottom w:val="single" w:color="auto" w:sz="4" w:space="0"/>
              <w:right w:val="single" w:color="auto" w:sz="4" w:space="0"/>
            </w:tcBorders>
            <w:vAlign w:val="center"/>
          </w:tcPr>
          <w:p w14:paraId="79AF87F9">
            <w:pPr>
              <w:spacing w:line="300" w:lineRule="exact"/>
              <w:rPr>
                <w:rFonts w:ascii="宋体" w:hAnsi="宋体" w:cs="宋体"/>
                <w:kern w:val="0"/>
              </w:rPr>
            </w:pPr>
            <w:r>
              <w:rPr>
                <w:rFonts w:hint="eastAsia" w:ascii="宋体" w:hAnsi="宋体" w:cs="宋体"/>
                <w:kern w:val="0"/>
              </w:rPr>
              <w:t>1.一季度预算执行率得分=（一季度部门预算支出进度/序时进度25%）×1分</w:t>
            </w:r>
          </w:p>
          <w:p w14:paraId="5E0059B6">
            <w:pPr>
              <w:spacing w:line="300" w:lineRule="exact"/>
              <w:rPr>
                <w:rFonts w:ascii="宋体" w:hAnsi="宋体" w:cs="宋体"/>
                <w:kern w:val="0"/>
              </w:rPr>
            </w:pPr>
            <w:r>
              <w:rPr>
                <w:rFonts w:hint="eastAsia" w:ascii="宋体" w:hAnsi="宋体" w:cs="宋体"/>
                <w:kern w:val="0"/>
              </w:rPr>
              <w:t>2.二季度预算执行率得分=（二季度部门预算支出进度/序时进度50%）×1分</w:t>
            </w:r>
          </w:p>
          <w:p w14:paraId="4E7E7781">
            <w:pPr>
              <w:spacing w:line="300" w:lineRule="exact"/>
              <w:rPr>
                <w:rFonts w:ascii="宋体" w:hAnsi="宋体" w:cs="宋体"/>
                <w:kern w:val="0"/>
              </w:rPr>
            </w:pPr>
            <w:r>
              <w:rPr>
                <w:rFonts w:hint="eastAsia" w:ascii="宋体" w:hAnsi="宋体" w:cs="宋体"/>
                <w:kern w:val="0"/>
              </w:rPr>
              <w:t>3.三季度预算执行率得分=（三季度部门预算支出进度/序时进度75%）×1分</w:t>
            </w:r>
          </w:p>
          <w:p w14:paraId="64BB6847">
            <w:pPr>
              <w:spacing w:line="300" w:lineRule="exact"/>
              <w:rPr>
                <w:rFonts w:ascii="宋体" w:hAnsi="宋体" w:cs="宋体"/>
                <w:kern w:val="0"/>
              </w:rPr>
            </w:pPr>
            <w:r>
              <w:rPr>
                <w:rFonts w:hint="eastAsia" w:ascii="宋体" w:hAnsi="宋体" w:cs="宋体"/>
                <w:kern w:val="0"/>
              </w:rPr>
              <w:t>4.四季度预算执行率得分=（四季度部门预算支出进度/序时进度100%）×1分</w:t>
            </w:r>
          </w:p>
          <w:p w14:paraId="049C5286">
            <w:pPr>
              <w:spacing w:line="300" w:lineRule="exact"/>
              <w:rPr>
                <w:rFonts w:ascii="宋体" w:hAnsi="宋体" w:cs="宋体"/>
                <w:kern w:val="0"/>
              </w:rPr>
            </w:pPr>
            <w:r>
              <w:rPr>
                <w:rFonts w:hint="eastAsia" w:ascii="宋体" w:hAnsi="宋体" w:cs="宋体"/>
                <w:kern w:val="0"/>
              </w:rPr>
              <w:t>5.全年平均支出进度得分</w:t>
            </w:r>
            <w:r>
              <w:rPr>
                <w:rFonts w:ascii="宋体" w:hAnsi="宋体" w:cs="宋体"/>
                <w:kern w:val="0"/>
              </w:rPr>
              <w:t>=</w:t>
            </w:r>
            <w:r>
              <w:rPr>
                <w:rFonts w:hint="eastAsia" w:ascii="宋体" w:hAnsi="宋体" w:cs="宋体"/>
                <w:kern w:val="0"/>
              </w:rPr>
              <w:t>全年平均执行率×2分</w:t>
            </w:r>
          </w:p>
          <w:p w14:paraId="7C169347">
            <w:pPr>
              <w:spacing w:line="300" w:lineRule="exact"/>
              <w:rPr>
                <w:rFonts w:ascii="宋体" w:hAnsi="宋体" w:cs="宋体"/>
                <w:kern w:val="0"/>
              </w:rPr>
            </w:pPr>
            <w:r>
              <w:rPr>
                <w:rFonts w:hint="eastAsia" w:ascii="宋体" w:hAnsi="宋体" w:cs="宋体"/>
                <w:kern w:val="0"/>
              </w:rPr>
              <w:t>其中：全年平均执行率</w:t>
            </w:r>
            <w:r>
              <w:rPr>
                <w:rFonts w:ascii="宋体" w:hAnsi="宋体" w:cs="宋体"/>
                <w:kern w:val="0"/>
              </w:rPr>
              <w:t>=</w:t>
            </w:r>
            <w:r>
              <w:rPr>
                <w:rFonts w:hint="eastAsia" w:ascii="宋体" w:hAnsi="宋体" w:cs="宋体"/>
                <w:kern w:val="0"/>
              </w:rPr>
              <w:t>∑（每个季度的执行率）÷</w:t>
            </w:r>
            <w:r>
              <w:rPr>
                <w:rFonts w:ascii="宋体" w:hAnsi="宋体" w:cs="宋体"/>
                <w:kern w:val="0"/>
              </w:rPr>
              <w:t>4</w:t>
            </w:r>
          </w:p>
          <w:p w14:paraId="091CF844">
            <w:pPr>
              <w:spacing w:line="300" w:lineRule="exact"/>
              <w:rPr>
                <w:rFonts w:ascii="宋体" w:hAnsi="宋体" w:cs="宋体"/>
                <w:kern w:val="0"/>
              </w:rPr>
            </w:pPr>
            <w:r>
              <w:rPr>
                <w:rFonts w:hint="eastAsia" w:ascii="宋体" w:hAnsi="宋体" w:cs="宋体"/>
                <w:kern w:val="0"/>
              </w:rPr>
              <w:t>季度支出进度=季度末月份累计支出进度（即3、6、9、12月月末支出进度）</w:t>
            </w:r>
          </w:p>
        </w:tc>
        <w:tc>
          <w:tcPr>
            <w:tcW w:w="851" w:type="dxa"/>
            <w:tcBorders>
              <w:top w:val="nil"/>
              <w:left w:val="nil"/>
              <w:bottom w:val="single" w:color="auto" w:sz="4" w:space="0"/>
              <w:right w:val="single" w:color="auto" w:sz="4" w:space="0"/>
            </w:tcBorders>
            <w:vAlign w:val="center"/>
          </w:tcPr>
          <w:p w14:paraId="376D0AB7">
            <w:pPr>
              <w:spacing w:line="320" w:lineRule="exact"/>
              <w:rPr>
                <w:rFonts w:ascii="宋体" w:hAnsi="宋体" w:cs="宋体"/>
                <w:kern w:val="0"/>
              </w:rPr>
            </w:pPr>
            <w:r>
              <w:rPr>
                <w:rFonts w:hint="eastAsia" w:ascii="宋体" w:hAnsi="宋体" w:cs="宋体"/>
                <w:kern w:val="0"/>
              </w:rPr>
              <w:t>4.94</w:t>
            </w:r>
          </w:p>
        </w:tc>
      </w:tr>
      <w:tr w14:paraId="3512709A">
        <w:tblPrEx>
          <w:tblCellMar>
            <w:top w:w="0" w:type="dxa"/>
            <w:left w:w="108" w:type="dxa"/>
            <w:bottom w:w="0" w:type="dxa"/>
            <w:right w:w="108" w:type="dxa"/>
          </w:tblCellMar>
        </w:tblPrEx>
        <w:trPr>
          <w:trHeight w:val="1404" w:hRule="atLeast"/>
        </w:trPr>
        <w:tc>
          <w:tcPr>
            <w:tcW w:w="577" w:type="dxa"/>
            <w:vMerge w:val="continue"/>
            <w:tcBorders>
              <w:top w:val="nil"/>
              <w:left w:val="single" w:color="auto" w:sz="4" w:space="0"/>
              <w:bottom w:val="single" w:color="auto" w:sz="4" w:space="0"/>
              <w:right w:val="single" w:color="auto" w:sz="4" w:space="0"/>
            </w:tcBorders>
            <w:vAlign w:val="center"/>
          </w:tcPr>
          <w:p w14:paraId="6E42C1C7">
            <w:pPr>
              <w:spacing w:line="320" w:lineRule="exact"/>
              <w:rPr>
                <w:rFonts w:ascii="宋体"/>
                <w:kern w:val="0"/>
              </w:rPr>
            </w:pPr>
          </w:p>
        </w:tc>
        <w:tc>
          <w:tcPr>
            <w:tcW w:w="508" w:type="dxa"/>
            <w:vMerge w:val="continue"/>
            <w:tcBorders>
              <w:top w:val="nil"/>
              <w:left w:val="single" w:color="auto" w:sz="4" w:space="0"/>
              <w:bottom w:val="single" w:color="auto" w:sz="4" w:space="0"/>
              <w:right w:val="single" w:color="auto" w:sz="4" w:space="0"/>
            </w:tcBorders>
            <w:vAlign w:val="center"/>
          </w:tcPr>
          <w:p w14:paraId="1210DFEA">
            <w:pPr>
              <w:spacing w:line="320" w:lineRule="exact"/>
              <w:rPr>
                <w:rFonts w:ascii="宋体"/>
                <w:kern w:val="0"/>
              </w:rPr>
            </w:pPr>
          </w:p>
        </w:tc>
        <w:tc>
          <w:tcPr>
            <w:tcW w:w="547" w:type="dxa"/>
            <w:vMerge w:val="continue"/>
            <w:tcBorders>
              <w:top w:val="single" w:color="auto" w:sz="4" w:space="0"/>
              <w:left w:val="single" w:color="auto" w:sz="4" w:space="0"/>
              <w:bottom w:val="single" w:color="auto" w:sz="4" w:space="0"/>
              <w:right w:val="single" w:color="auto" w:sz="4" w:space="0"/>
            </w:tcBorders>
            <w:vAlign w:val="center"/>
          </w:tcPr>
          <w:p w14:paraId="2C6AC7C9">
            <w:pPr>
              <w:spacing w:line="320" w:lineRule="exact"/>
              <w:rPr>
                <w:rFonts w:ascii="宋体"/>
                <w:kern w:val="0"/>
              </w:rPr>
            </w:pPr>
          </w:p>
        </w:tc>
        <w:tc>
          <w:tcPr>
            <w:tcW w:w="571" w:type="dxa"/>
            <w:vMerge w:val="continue"/>
            <w:tcBorders>
              <w:top w:val="single" w:color="auto" w:sz="4" w:space="0"/>
              <w:left w:val="single" w:color="auto" w:sz="4" w:space="0"/>
              <w:bottom w:val="single" w:color="auto" w:sz="4" w:space="0"/>
              <w:right w:val="single" w:color="auto" w:sz="4" w:space="0"/>
            </w:tcBorders>
            <w:vAlign w:val="center"/>
          </w:tcPr>
          <w:p w14:paraId="177F3134">
            <w:pPr>
              <w:spacing w:line="320" w:lineRule="exact"/>
              <w:jc w:val="center"/>
              <w:rPr>
                <w:rFonts w:ascii="宋体"/>
                <w:kern w:val="0"/>
              </w:rPr>
            </w:pPr>
          </w:p>
        </w:tc>
        <w:tc>
          <w:tcPr>
            <w:tcW w:w="705" w:type="dxa"/>
            <w:tcBorders>
              <w:top w:val="nil"/>
              <w:left w:val="nil"/>
              <w:bottom w:val="single" w:color="auto" w:sz="4" w:space="0"/>
              <w:right w:val="single" w:color="auto" w:sz="4" w:space="0"/>
            </w:tcBorders>
            <w:vAlign w:val="center"/>
          </w:tcPr>
          <w:p w14:paraId="058F60CD">
            <w:pPr>
              <w:spacing w:line="320" w:lineRule="exact"/>
              <w:rPr>
                <w:rFonts w:ascii="宋体"/>
                <w:kern w:val="0"/>
              </w:rPr>
            </w:pPr>
            <w:r>
              <w:rPr>
                <w:rFonts w:hint="eastAsia" w:ascii="宋体" w:hAnsi="宋体" w:cs="宋体"/>
                <w:kern w:val="0"/>
              </w:rPr>
              <w:t>重点工作完成情况</w:t>
            </w:r>
          </w:p>
        </w:tc>
        <w:tc>
          <w:tcPr>
            <w:tcW w:w="567" w:type="dxa"/>
            <w:tcBorders>
              <w:top w:val="nil"/>
              <w:left w:val="nil"/>
              <w:bottom w:val="single" w:color="auto" w:sz="4" w:space="0"/>
              <w:right w:val="single" w:color="auto" w:sz="4" w:space="0"/>
            </w:tcBorders>
            <w:vAlign w:val="center"/>
          </w:tcPr>
          <w:p w14:paraId="688141D5">
            <w:pPr>
              <w:spacing w:line="320" w:lineRule="exact"/>
              <w:jc w:val="center"/>
              <w:rPr>
                <w:rFonts w:ascii="宋体"/>
                <w:kern w:val="0"/>
              </w:rPr>
            </w:pPr>
            <w:r>
              <w:rPr>
                <w:rFonts w:hint="eastAsia" w:ascii="宋体" w:hAnsi="宋体" w:cs="宋体"/>
                <w:kern w:val="0"/>
              </w:rPr>
              <w:t>8</w:t>
            </w:r>
          </w:p>
        </w:tc>
        <w:tc>
          <w:tcPr>
            <w:tcW w:w="2551" w:type="dxa"/>
            <w:tcBorders>
              <w:top w:val="nil"/>
              <w:left w:val="nil"/>
              <w:bottom w:val="single" w:color="auto" w:sz="4" w:space="0"/>
              <w:right w:val="single" w:color="auto" w:sz="4" w:space="0"/>
            </w:tcBorders>
            <w:vAlign w:val="center"/>
          </w:tcPr>
          <w:p w14:paraId="41C76C69">
            <w:pPr>
              <w:spacing w:line="320" w:lineRule="exact"/>
              <w:rPr>
                <w:rFonts w:ascii="宋体"/>
                <w:color w:val="000000"/>
                <w:kern w:val="0"/>
              </w:rPr>
            </w:pPr>
            <w:r>
              <w:rPr>
                <w:rFonts w:hint="eastAsia" w:ascii="宋体" w:hAnsi="宋体" w:cs="宋体"/>
                <w:color w:val="000000"/>
                <w:kern w:val="0"/>
              </w:rPr>
              <w:t>部门（单位）完成党委、政府、人大和上级部门下达或交办的重要事项或工作的完成情况，反映部门对重点工作的办理落实程度。</w:t>
            </w:r>
          </w:p>
        </w:tc>
        <w:tc>
          <w:tcPr>
            <w:tcW w:w="7371" w:type="dxa"/>
            <w:tcBorders>
              <w:top w:val="nil"/>
              <w:left w:val="nil"/>
              <w:bottom w:val="single" w:color="auto" w:sz="4" w:space="0"/>
              <w:right w:val="single" w:color="auto" w:sz="4" w:space="0"/>
            </w:tcBorders>
            <w:vAlign w:val="center"/>
          </w:tcPr>
          <w:p w14:paraId="1A96BE6E">
            <w:pPr>
              <w:spacing w:line="300" w:lineRule="exact"/>
              <w:ind w:firstLine="420" w:firstLineChars="200"/>
              <w:rPr>
                <w:rFonts w:ascii="宋体" w:hAnsi="宋体" w:cs="宋体"/>
                <w:kern w:val="0"/>
              </w:rPr>
            </w:pPr>
            <w:r>
              <w:rPr>
                <w:rFonts w:hint="eastAsia" w:ascii="宋体" w:hAnsi="宋体" w:cs="宋体"/>
                <w:kern w:val="0"/>
              </w:rPr>
              <w:t>重点工作是指中央和省相关部门、市委、市政府、市人大、区委、区政府、区人大交办或下达的工作任务。全部按期保质保量完成得8分；一项重点工作没有完成扣4分，扣完为止。</w:t>
            </w:r>
          </w:p>
          <w:p w14:paraId="241443FA">
            <w:pPr>
              <w:spacing w:line="300" w:lineRule="exact"/>
              <w:rPr>
                <w:rFonts w:ascii="宋体" w:hAnsi="宋体" w:cs="宋体"/>
                <w:kern w:val="0"/>
              </w:rPr>
            </w:pPr>
            <w:r>
              <w:rPr>
                <w:rFonts w:hint="eastAsia" w:ascii="宋体" w:hAnsi="宋体" w:cs="宋体"/>
                <w:kern w:val="0"/>
              </w:rPr>
              <w:t>注：重点工作完成情况可以参考区委区政府督查部门或其他权威部门的统计数据（如有）。</w:t>
            </w:r>
          </w:p>
        </w:tc>
        <w:tc>
          <w:tcPr>
            <w:tcW w:w="851" w:type="dxa"/>
            <w:tcBorders>
              <w:top w:val="nil"/>
              <w:left w:val="nil"/>
              <w:bottom w:val="single" w:color="auto" w:sz="4" w:space="0"/>
              <w:right w:val="single" w:color="auto" w:sz="4" w:space="0"/>
            </w:tcBorders>
            <w:vAlign w:val="center"/>
          </w:tcPr>
          <w:p w14:paraId="38808245">
            <w:pPr>
              <w:spacing w:line="320" w:lineRule="exact"/>
              <w:jc w:val="center"/>
              <w:rPr>
                <w:rFonts w:ascii="宋体" w:hAnsi="宋体" w:cs="宋体"/>
                <w:kern w:val="0"/>
              </w:rPr>
            </w:pPr>
            <w:r>
              <w:rPr>
                <w:rFonts w:hint="eastAsia" w:ascii="宋体" w:hAnsi="宋体" w:cs="宋体"/>
                <w:kern w:val="0"/>
              </w:rPr>
              <w:t>8</w:t>
            </w:r>
          </w:p>
        </w:tc>
      </w:tr>
      <w:tr w14:paraId="397C22FF">
        <w:tblPrEx>
          <w:tblCellMar>
            <w:top w:w="0" w:type="dxa"/>
            <w:left w:w="108" w:type="dxa"/>
            <w:bottom w:w="0" w:type="dxa"/>
            <w:right w:w="108" w:type="dxa"/>
          </w:tblCellMar>
        </w:tblPrEx>
        <w:trPr>
          <w:trHeight w:val="892" w:hRule="atLeast"/>
        </w:trPr>
        <w:tc>
          <w:tcPr>
            <w:tcW w:w="577" w:type="dxa"/>
            <w:vMerge w:val="continue"/>
            <w:tcBorders>
              <w:top w:val="nil"/>
              <w:left w:val="single" w:color="auto" w:sz="4" w:space="0"/>
              <w:bottom w:val="single" w:color="auto" w:sz="4" w:space="0"/>
              <w:right w:val="single" w:color="auto" w:sz="4" w:space="0"/>
            </w:tcBorders>
            <w:vAlign w:val="center"/>
          </w:tcPr>
          <w:p w14:paraId="1F768E20">
            <w:pPr>
              <w:spacing w:line="320" w:lineRule="exact"/>
              <w:rPr>
                <w:rFonts w:ascii="宋体"/>
                <w:kern w:val="0"/>
              </w:rPr>
            </w:pPr>
          </w:p>
        </w:tc>
        <w:tc>
          <w:tcPr>
            <w:tcW w:w="508" w:type="dxa"/>
            <w:vMerge w:val="continue"/>
            <w:tcBorders>
              <w:top w:val="nil"/>
              <w:left w:val="single" w:color="auto" w:sz="4" w:space="0"/>
              <w:bottom w:val="single" w:color="auto" w:sz="4" w:space="0"/>
              <w:right w:val="single" w:color="auto" w:sz="4" w:space="0"/>
            </w:tcBorders>
            <w:vAlign w:val="center"/>
          </w:tcPr>
          <w:p w14:paraId="223734B9">
            <w:pPr>
              <w:spacing w:line="320" w:lineRule="exact"/>
              <w:rPr>
                <w:rFonts w:ascii="宋体"/>
                <w:kern w:val="0"/>
              </w:rPr>
            </w:pPr>
          </w:p>
        </w:tc>
        <w:tc>
          <w:tcPr>
            <w:tcW w:w="547" w:type="dxa"/>
            <w:vMerge w:val="continue"/>
            <w:tcBorders>
              <w:top w:val="single" w:color="auto" w:sz="4" w:space="0"/>
              <w:left w:val="single" w:color="auto" w:sz="4" w:space="0"/>
              <w:bottom w:val="single" w:color="auto" w:sz="4" w:space="0"/>
              <w:right w:val="single" w:color="auto" w:sz="4" w:space="0"/>
            </w:tcBorders>
            <w:vAlign w:val="center"/>
          </w:tcPr>
          <w:p w14:paraId="3AEE618B">
            <w:pPr>
              <w:spacing w:line="320" w:lineRule="exact"/>
              <w:rPr>
                <w:rFonts w:ascii="宋体"/>
                <w:kern w:val="0"/>
              </w:rPr>
            </w:pPr>
          </w:p>
        </w:tc>
        <w:tc>
          <w:tcPr>
            <w:tcW w:w="571" w:type="dxa"/>
            <w:vMerge w:val="continue"/>
            <w:tcBorders>
              <w:top w:val="single" w:color="auto" w:sz="4" w:space="0"/>
              <w:left w:val="single" w:color="auto" w:sz="4" w:space="0"/>
              <w:bottom w:val="single" w:color="auto" w:sz="4" w:space="0"/>
              <w:right w:val="single" w:color="auto" w:sz="4" w:space="0"/>
            </w:tcBorders>
            <w:vAlign w:val="center"/>
          </w:tcPr>
          <w:p w14:paraId="6620DE25">
            <w:pPr>
              <w:spacing w:line="320" w:lineRule="exact"/>
              <w:jc w:val="center"/>
              <w:rPr>
                <w:rFonts w:ascii="宋体"/>
                <w:kern w:val="0"/>
              </w:rPr>
            </w:pPr>
          </w:p>
        </w:tc>
        <w:tc>
          <w:tcPr>
            <w:tcW w:w="705" w:type="dxa"/>
            <w:tcBorders>
              <w:top w:val="nil"/>
              <w:left w:val="nil"/>
              <w:bottom w:val="single" w:color="auto" w:sz="4" w:space="0"/>
              <w:right w:val="single" w:color="auto" w:sz="4" w:space="0"/>
            </w:tcBorders>
            <w:vAlign w:val="center"/>
          </w:tcPr>
          <w:p w14:paraId="15F72AAE">
            <w:pPr>
              <w:spacing w:line="320" w:lineRule="exact"/>
              <w:rPr>
                <w:rFonts w:ascii="宋体"/>
                <w:kern w:val="0"/>
              </w:rPr>
            </w:pPr>
            <w:r>
              <w:rPr>
                <w:rFonts w:hint="eastAsia" w:ascii="宋体" w:hAnsi="宋体" w:cs="宋体"/>
                <w:kern w:val="0"/>
              </w:rPr>
              <w:t>项目完成及时性</w:t>
            </w:r>
          </w:p>
        </w:tc>
        <w:tc>
          <w:tcPr>
            <w:tcW w:w="567" w:type="dxa"/>
            <w:tcBorders>
              <w:top w:val="nil"/>
              <w:left w:val="nil"/>
              <w:bottom w:val="single" w:color="auto" w:sz="4" w:space="0"/>
              <w:right w:val="single" w:color="auto" w:sz="4" w:space="0"/>
            </w:tcBorders>
            <w:vAlign w:val="center"/>
          </w:tcPr>
          <w:p w14:paraId="462D04A4">
            <w:pPr>
              <w:spacing w:line="320" w:lineRule="exact"/>
              <w:jc w:val="center"/>
              <w:rPr>
                <w:rFonts w:ascii="宋体"/>
                <w:kern w:val="0"/>
              </w:rPr>
            </w:pPr>
            <w:r>
              <w:rPr>
                <w:rFonts w:ascii="宋体" w:hAnsi="宋体" w:cs="宋体"/>
                <w:kern w:val="0"/>
              </w:rPr>
              <w:t>6</w:t>
            </w:r>
          </w:p>
        </w:tc>
        <w:tc>
          <w:tcPr>
            <w:tcW w:w="2551" w:type="dxa"/>
            <w:tcBorders>
              <w:top w:val="nil"/>
              <w:left w:val="nil"/>
              <w:bottom w:val="single" w:color="auto" w:sz="4" w:space="0"/>
              <w:right w:val="single" w:color="auto" w:sz="4" w:space="0"/>
            </w:tcBorders>
            <w:vAlign w:val="center"/>
          </w:tcPr>
          <w:p w14:paraId="4817E098">
            <w:pPr>
              <w:spacing w:line="320" w:lineRule="exact"/>
              <w:rPr>
                <w:rFonts w:ascii="宋体"/>
                <w:kern w:val="0"/>
              </w:rPr>
            </w:pPr>
            <w:r>
              <w:rPr>
                <w:rFonts w:hint="eastAsia" w:ascii="宋体" w:hAnsi="宋体" w:cs="宋体"/>
                <w:kern w:val="0"/>
              </w:rPr>
              <w:t>部门（单位）项目完成情况与预期时间对比的情况。</w:t>
            </w:r>
          </w:p>
        </w:tc>
        <w:tc>
          <w:tcPr>
            <w:tcW w:w="7371" w:type="dxa"/>
            <w:tcBorders>
              <w:top w:val="nil"/>
              <w:left w:val="nil"/>
              <w:bottom w:val="single" w:color="auto" w:sz="4" w:space="0"/>
              <w:right w:val="single" w:color="auto" w:sz="4" w:space="0"/>
            </w:tcBorders>
            <w:vAlign w:val="center"/>
          </w:tcPr>
          <w:p w14:paraId="570FF8F7">
            <w:pPr>
              <w:spacing w:line="300" w:lineRule="exact"/>
              <w:ind w:firstLine="420" w:firstLineChars="200"/>
              <w:rPr>
                <w:rFonts w:ascii="宋体" w:hAnsi="宋体" w:cs="宋体"/>
                <w:kern w:val="0"/>
              </w:rPr>
            </w:pPr>
            <w:r>
              <w:rPr>
                <w:rFonts w:ascii="宋体" w:hAnsi="宋体" w:cs="宋体"/>
                <w:kern w:val="0"/>
              </w:rPr>
              <w:t>1.</w:t>
            </w:r>
            <w:r>
              <w:rPr>
                <w:rFonts w:hint="eastAsia" w:ascii="宋体" w:hAnsi="宋体" w:cs="宋体"/>
                <w:kern w:val="0"/>
              </w:rPr>
              <w:t>所有部门预算安排的项目均按计划时间完成（</w:t>
            </w:r>
            <w:r>
              <w:rPr>
                <w:rFonts w:ascii="宋体" w:hAnsi="宋体" w:cs="宋体"/>
                <w:kern w:val="0"/>
              </w:rPr>
              <w:t>6</w:t>
            </w:r>
            <w:r>
              <w:rPr>
                <w:rFonts w:hint="eastAsia" w:ascii="宋体" w:hAnsi="宋体" w:cs="宋体"/>
                <w:kern w:val="0"/>
              </w:rPr>
              <w:t>分）；</w:t>
            </w:r>
          </w:p>
          <w:p w14:paraId="1ACEFC17">
            <w:pPr>
              <w:spacing w:line="300" w:lineRule="exact"/>
              <w:ind w:firstLine="420" w:firstLineChars="200"/>
              <w:rPr>
                <w:rFonts w:ascii="宋体" w:hAnsi="宋体" w:cs="宋体"/>
                <w:kern w:val="0"/>
              </w:rPr>
            </w:pPr>
            <w:r>
              <w:rPr>
                <w:rFonts w:ascii="宋体" w:hAnsi="宋体" w:cs="宋体"/>
                <w:kern w:val="0"/>
              </w:rPr>
              <w:t>2.</w:t>
            </w:r>
            <w:r>
              <w:rPr>
                <w:rFonts w:hint="eastAsia" w:ascii="宋体" w:hAnsi="宋体" w:cs="宋体"/>
                <w:kern w:val="0"/>
              </w:rPr>
              <w:t>部分项目未按计划时间完成的，本指标得分</w:t>
            </w:r>
            <w:r>
              <w:rPr>
                <w:rFonts w:ascii="宋体" w:hAnsi="宋体" w:cs="宋体"/>
                <w:kern w:val="0"/>
              </w:rPr>
              <w:t>=</w:t>
            </w:r>
            <w:r>
              <w:rPr>
                <w:rFonts w:hint="eastAsia" w:ascii="宋体" w:hAnsi="宋体" w:cs="宋体"/>
                <w:kern w:val="0"/>
              </w:rPr>
              <w:t>已完成项目数</w:t>
            </w:r>
            <w:r>
              <w:rPr>
                <w:rFonts w:ascii="宋体" w:hAnsi="宋体" w:cs="宋体"/>
                <w:kern w:val="0"/>
              </w:rPr>
              <w:t>/</w:t>
            </w:r>
            <w:r>
              <w:rPr>
                <w:rFonts w:hint="eastAsia" w:ascii="宋体" w:hAnsi="宋体" w:cs="宋体"/>
                <w:kern w:val="0"/>
              </w:rPr>
              <w:t>计划完成项目总数×</w:t>
            </w:r>
            <w:r>
              <w:rPr>
                <w:rFonts w:ascii="宋体" w:hAnsi="宋体" w:cs="宋体"/>
                <w:kern w:val="0"/>
              </w:rPr>
              <w:t>6</w:t>
            </w:r>
            <w:r>
              <w:rPr>
                <w:rFonts w:hint="eastAsia" w:ascii="宋体" w:hAnsi="宋体" w:cs="宋体"/>
                <w:kern w:val="0"/>
              </w:rPr>
              <w:t>分。</w:t>
            </w:r>
          </w:p>
        </w:tc>
        <w:tc>
          <w:tcPr>
            <w:tcW w:w="851" w:type="dxa"/>
            <w:tcBorders>
              <w:top w:val="nil"/>
              <w:left w:val="nil"/>
              <w:bottom w:val="single" w:color="auto" w:sz="4" w:space="0"/>
              <w:right w:val="single" w:color="auto" w:sz="4" w:space="0"/>
            </w:tcBorders>
            <w:vAlign w:val="center"/>
          </w:tcPr>
          <w:p w14:paraId="11A9C876">
            <w:pPr>
              <w:spacing w:line="320" w:lineRule="exact"/>
              <w:jc w:val="center"/>
              <w:rPr>
                <w:rFonts w:ascii="宋体" w:hAnsi="宋体" w:cs="宋体"/>
                <w:kern w:val="0"/>
              </w:rPr>
            </w:pPr>
            <w:r>
              <w:rPr>
                <w:rFonts w:hint="eastAsia" w:ascii="宋体" w:hAnsi="宋体" w:cs="宋体"/>
                <w:kern w:val="0"/>
              </w:rPr>
              <w:t>6</w:t>
            </w:r>
          </w:p>
        </w:tc>
      </w:tr>
      <w:tr w14:paraId="5C771B73">
        <w:tblPrEx>
          <w:tblCellMar>
            <w:top w:w="0" w:type="dxa"/>
            <w:left w:w="108" w:type="dxa"/>
            <w:bottom w:w="0" w:type="dxa"/>
            <w:right w:w="108" w:type="dxa"/>
          </w:tblCellMar>
        </w:tblPrEx>
        <w:trPr>
          <w:trHeight w:val="728" w:hRule="atLeast"/>
        </w:trPr>
        <w:tc>
          <w:tcPr>
            <w:tcW w:w="577" w:type="dxa"/>
            <w:vMerge w:val="continue"/>
            <w:tcBorders>
              <w:top w:val="nil"/>
              <w:left w:val="single" w:color="auto" w:sz="4" w:space="0"/>
              <w:bottom w:val="single" w:color="auto" w:sz="4" w:space="0"/>
              <w:right w:val="single" w:color="auto" w:sz="4" w:space="0"/>
            </w:tcBorders>
            <w:vAlign w:val="center"/>
          </w:tcPr>
          <w:p w14:paraId="6A575917">
            <w:pPr>
              <w:spacing w:line="320" w:lineRule="exact"/>
              <w:rPr>
                <w:rFonts w:ascii="宋体"/>
                <w:kern w:val="0"/>
              </w:rPr>
            </w:pPr>
          </w:p>
        </w:tc>
        <w:tc>
          <w:tcPr>
            <w:tcW w:w="508" w:type="dxa"/>
            <w:vMerge w:val="continue"/>
            <w:tcBorders>
              <w:top w:val="nil"/>
              <w:left w:val="single" w:color="auto" w:sz="4" w:space="0"/>
              <w:bottom w:val="single" w:color="auto" w:sz="4" w:space="0"/>
              <w:right w:val="single" w:color="auto" w:sz="4" w:space="0"/>
            </w:tcBorders>
            <w:vAlign w:val="center"/>
          </w:tcPr>
          <w:p w14:paraId="3401B9FF">
            <w:pPr>
              <w:spacing w:line="320" w:lineRule="exact"/>
              <w:rPr>
                <w:rFonts w:ascii="宋体"/>
                <w:kern w:val="0"/>
              </w:rPr>
            </w:pPr>
          </w:p>
        </w:tc>
        <w:tc>
          <w:tcPr>
            <w:tcW w:w="547" w:type="dxa"/>
            <w:tcBorders>
              <w:top w:val="nil"/>
              <w:left w:val="nil"/>
              <w:bottom w:val="single" w:color="auto" w:sz="4" w:space="0"/>
              <w:right w:val="single" w:color="auto" w:sz="4" w:space="0"/>
            </w:tcBorders>
            <w:vAlign w:val="center"/>
          </w:tcPr>
          <w:p w14:paraId="41494207">
            <w:pPr>
              <w:spacing w:line="320" w:lineRule="exact"/>
              <w:rPr>
                <w:rFonts w:ascii="宋体"/>
                <w:kern w:val="0"/>
              </w:rPr>
            </w:pPr>
            <w:r>
              <w:rPr>
                <w:rFonts w:hint="eastAsia" w:ascii="宋体" w:hAnsi="宋体" w:cs="宋体"/>
                <w:kern w:val="0"/>
              </w:rPr>
              <w:t>效果性</w:t>
            </w:r>
          </w:p>
        </w:tc>
        <w:tc>
          <w:tcPr>
            <w:tcW w:w="571" w:type="dxa"/>
            <w:tcBorders>
              <w:top w:val="nil"/>
              <w:left w:val="nil"/>
              <w:bottom w:val="single" w:color="auto" w:sz="4" w:space="0"/>
              <w:right w:val="single" w:color="auto" w:sz="4" w:space="0"/>
            </w:tcBorders>
            <w:vAlign w:val="center"/>
          </w:tcPr>
          <w:p w14:paraId="3276F0F1">
            <w:pPr>
              <w:spacing w:line="320" w:lineRule="exact"/>
              <w:jc w:val="center"/>
              <w:rPr>
                <w:rFonts w:ascii="宋体"/>
                <w:kern w:val="0"/>
              </w:rPr>
            </w:pPr>
            <w:r>
              <w:rPr>
                <w:rFonts w:ascii="宋体" w:hAnsi="宋体" w:cs="宋体"/>
                <w:kern w:val="0"/>
              </w:rPr>
              <w:t>25</w:t>
            </w:r>
          </w:p>
        </w:tc>
        <w:tc>
          <w:tcPr>
            <w:tcW w:w="705" w:type="dxa"/>
            <w:tcBorders>
              <w:top w:val="nil"/>
              <w:left w:val="nil"/>
              <w:bottom w:val="single" w:color="auto" w:sz="4" w:space="0"/>
              <w:right w:val="single" w:color="auto" w:sz="4" w:space="0"/>
            </w:tcBorders>
            <w:vAlign w:val="center"/>
          </w:tcPr>
          <w:p w14:paraId="180624B2">
            <w:pPr>
              <w:spacing w:line="320" w:lineRule="exact"/>
              <w:rPr>
                <w:rFonts w:ascii="宋体"/>
                <w:kern w:val="0"/>
              </w:rPr>
            </w:pPr>
            <w:r>
              <w:rPr>
                <w:rFonts w:hint="eastAsia" w:ascii="宋体" w:hAnsi="宋体" w:cs="宋体"/>
                <w:kern w:val="0"/>
              </w:rPr>
              <w:t>社会效益、经济效益、生态效益及可持续影响等</w:t>
            </w:r>
          </w:p>
        </w:tc>
        <w:tc>
          <w:tcPr>
            <w:tcW w:w="567" w:type="dxa"/>
            <w:tcBorders>
              <w:top w:val="nil"/>
              <w:left w:val="nil"/>
              <w:bottom w:val="single" w:color="auto" w:sz="4" w:space="0"/>
              <w:right w:val="single" w:color="auto" w:sz="4" w:space="0"/>
            </w:tcBorders>
            <w:vAlign w:val="center"/>
          </w:tcPr>
          <w:p w14:paraId="3EBA7DA8">
            <w:pPr>
              <w:spacing w:line="320" w:lineRule="exact"/>
              <w:jc w:val="center"/>
              <w:rPr>
                <w:rFonts w:ascii="宋体"/>
                <w:color w:val="000000"/>
                <w:kern w:val="0"/>
              </w:rPr>
            </w:pPr>
            <w:r>
              <w:rPr>
                <w:rFonts w:ascii="宋体" w:hAnsi="宋体" w:cs="宋体"/>
                <w:color w:val="000000"/>
                <w:kern w:val="0"/>
              </w:rPr>
              <w:t>25</w:t>
            </w:r>
          </w:p>
        </w:tc>
        <w:tc>
          <w:tcPr>
            <w:tcW w:w="2551" w:type="dxa"/>
            <w:tcBorders>
              <w:top w:val="nil"/>
              <w:left w:val="nil"/>
              <w:bottom w:val="single" w:color="auto" w:sz="4" w:space="0"/>
              <w:right w:val="single" w:color="auto" w:sz="4" w:space="0"/>
            </w:tcBorders>
            <w:vAlign w:val="center"/>
          </w:tcPr>
          <w:p w14:paraId="13736A54">
            <w:pPr>
              <w:spacing w:line="320" w:lineRule="exact"/>
              <w:rPr>
                <w:rFonts w:ascii="宋体"/>
                <w:color w:val="000000"/>
                <w:kern w:val="0"/>
              </w:rPr>
            </w:pPr>
            <w:r>
              <w:rPr>
                <w:rFonts w:hint="eastAsia" w:ascii="宋体" w:hAnsi="宋体" w:cs="宋体"/>
                <w:color w:val="000000"/>
                <w:kern w:val="0"/>
              </w:rPr>
              <w:t>部门（单位）履行职责、完成各项重大政策和项目的效果，以及对经济发展、社会发展、生态环境所带来的直接或间接影响。</w:t>
            </w:r>
          </w:p>
        </w:tc>
        <w:tc>
          <w:tcPr>
            <w:tcW w:w="7371" w:type="dxa"/>
            <w:tcBorders>
              <w:top w:val="nil"/>
              <w:left w:val="nil"/>
              <w:bottom w:val="single" w:color="auto" w:sz="4" w:space="0"/>
              <w:right w:val="single" w:color="auto" w:sz="4" w:space="0"/>
            </w:tcBorders>
            <w:vAlign w:val="center"/>
          </w:tcPr>
          <w:p w14:paraId="4DC2D941">
            <w:pPr>
              <w:spacing w:line="300" w:lineRule="exact"/>
              <w:ind w:firstLine="420" w:firstLineChars="200"/>
              <w:rPr>
                <w:rFonts w:ascii="宋体" w:hAnsi="宋体" w:cs="宋体"/>
                <w:color w:val="000000"/>
                <w:kern w:val="0"/>
              </w:rPr>
            </w:pPr>
            <w:r>
              <w:rPr>
                <w:rFonts w:hint="eastAsia" w:ascii="宋体" w:hAnsi="宋体" w:cs="宋体"/>
                <w:color w:val="000000"/>
                <w:kern w:val="0"/>
              </w:rPr>
              <w:t>根据部门（单位）职责，结合部门整体支出绩效目标，合理设置个性化绩效指标，通过绩效指标完成情况与目标值对比分析进行评分，未实现绩效目标的酌情扣分。</w:t>
            </w:r>
          </w:p>
          <w:p w14:paraId="47156A0E">
            <w:pPr>
              <w:spacing w:line="300" w:lineRule="exact"/>
              <w:ind w:firstLine="420" w:firstLineChars="200"/>
              <w:rPr>
                <w:rFonts w:ascii="宋体" w:hAnsi="宋体" w:cs="宋体"/>
                <w:color w:val="000000"/>
                <w:kern w:val="0"/>
              </w:rPr>
            </w:pPr>
            <w:r>
              <w:rPr>
                <w:rFonts w:hint="eastAsia" w:ascii="宋体" w:hAnsi="宋体" w:cs="宋体"/>
                <w:color w:val="000000"/>
                <w:kern w:val="0"/>
              </w:rPr>
              <w:t>根据部门（部门）履职内容和性质，从社会效益、经济效益、生态效益、可持续影响等方面，至少选择三个方面对工作实效和效益进行评价。</w:t>
            </w:r>
          </w:p>
        </w:tc>
        <w:tc>
          <w:tcPr>
            <w:tcW w:w="851" w:type="dxa"/>
            <w:tcBorders>
              <w:top w:val="nil"/>
              <w:left w:val="nil"/>
              <w:bottom w:val="single" w:color="auto" w:sz="4" w:space="0"/>
              <w:right w:val="single" w:color="auto" w:sz="4" w:space="0"/>
            </w:tcBorders>
            <w:vAlign w:val="center"/>
          </w:tcPr>
          <w:p w14:paraId="1B9273F4">
            <w:pPr>
              <w:spacing w:line="320" w:lineRule="exact"/>
              <w:jc w:val="center"/>
              <w:rPr>
                <w:rFonts w:ascii="宋体" w:hAnsi="宋体" w:cs="宋体"/>
                <w:color w:val="000000"/>
                <w:kern w:val="0"/>
                <w:sz w:val="22"/>
                <w:szCs w:val="28"/>
              </w:rPr>
            </w:pPr>
            <w:r>
              <w:rPr>
                <w:rFonts w:hint="eastAsia" w:ascii="宋体" w:hAnsi="宋体" w:cs="宋体"/>
                <w:color w:val="000000"/>
                <w:kern w:val="0"/>
              </w:rPr>
              <w:t>25</w:t>
            </w:r>
          </w:p>
        </w:tc>
      </w:tr>
      <w:tr w14:paraId="0066DBE5">
        <w:tblPrEx>
          <w:tblCellMar>
            <w:top w:w="0" w:type="dxa"/>
            <w:left w:w="108" w:type="dxa"/>
            <w:bottom w:w="0" w:type="dxa"/>
            <w:right w:w="108" w:type="dxa"/>
          </w:tblCellMar>
        </w:tblPrEx>
        <w:trPr>
          <w:trHeight w:val="1214" w:hRule="atLeast"/>
        </w:trPr>
        <w:tc>
          <w:tcPr>
            <w:tcW w:w="577" w:type="dxa"/>
            <w:vMerge w:val="continue"/>
            <w:tcBorders>
              <w:top w:val="nil"/>
              <w:left w:val="single" w:color="auto" w:sz="4" w:space="0"/>
              <w:bottom w:val="single" w:color="auto" w:sz="4" w:space="0"/>
              <w:right w:val="single" w:color="auto" w:sz="4" w:space="0"/>
            </w:tcBorders>
            <w:vAlign w:val="center"/>
          </w:tcPr>
          <w:p w14:paraId="6064F360">
            <w:pPr>
              <w:spacing w:line="320" w:lineRule="exact"/>
              <w:rPr>
                <w:rFonts w:ascii="宋体"/>
                <w:kern w:val="0"/>
              </w:rPr>
            </w:pPr>
          </w:p>
        </w:tc>
        <w:tc>
          <w:tcPr>
            <w:tcW w:w="508" w:type="dxa"/>
            <w:vMerge w:val="continue"/>
            <w:tcBorders>
              <w:top w:val="nil"/>
              <w:left w:val="single" w:color="auto" w:sz="4" w:space="0"/>
              <w:bottom w:val="single" w:color="auto" w:sz="4" w:space="0"/>
              <w:right w:val="single" w:color="auto" w:sz="4" w:space="0"/>
            </w:tcBorders>
            <w:vAlign w:val="center"/>
          </w:tcPr>
          <w:p w14:paraId="1BD99998">
            <w:pPr>
              <w:spacing w:line="320" w:lineRule="exact"/>
              <w:rPr>
                <w:rFonts w:ascii="宋体"/>
                <w:kern w:val="0"/>
              </w:rPr>
            </w:pPr>
          </w:p>
        </w:tc>
        <w:tc>
          <w:tcPr>
            <w:tcW w:w="547" w:type="dxa"/>
            <w:vMerge w:val="restart"/>
            <w:tcBorders>
              <w:top w:val="nil"/>
              <w:left w:val="single" w:color="auto" w:sz="4" w:space="0"/>
              <w:bottom w:val="single" w:color="auto" w:sz="4" w:space="0"/>
              <w:right w:val="single" w:color="auto" w:sz="4" w:space="0"/>
            </w:tcBorders>
            <w:vAlign w:val="center"/>
          </w:tcPr>
          <w:p w14:paraId="05E62F65">
            <w:pPr>
              <w:spacing w:line="320" w:lineRule="exact"/>
              <w:rPr>
                <w:rFonts w:ascii="宋体"/>
                <w:kern w:val="0"/>
              </w:rPr>
            </w:pPr>
            <w:r>
              <w:rPr>
                <w:rFonts w:hint="eastAsia" w:ascii="宋体" w:hAnsi="宋体" w:cs="宋体"/>
                <w:kern w:val="0"/>
              </w:rPr>
              <w:t>公平性</w:t>
            </w:r>
          </w:p>
        </w:tc>
        <w:tc>
          <w:tcPr>
            <w:tcW w:w="571" w:type="dxa"/>
            <w:vMerge w:val="restart"/>
            <w:tcBorders>
              <w:top w:val="nil"/>
              <w:left w:val="single" w:color="auto" w:sz="4" w:space="0"/>
              <w:bottom w:val="single" w:color="auto" w:sz="4" w:space="0"/>
              <w:right w:val="single" w:color="auto" w:sz="4" w:space="0"/>
            </w:tcBorders>
            <w:vAlign w:val="center"/>
          </w:tcPr>
          <w:p w14:paraId="6AB4DAA1">
            <w:pPr>
              <w:spacing w:line="320" w:lineRule="exact"/>
              <w:jc w:val="center"/>
              <w:rPr>
                <w:rFonts w:ascii="宋体"/>
                <w:kern w:val="0"/>
              </w:rPr>
            </w:pPr>
            <w:r>
              <w:rPr>
                <w:rFonts w:hint="eastAsia" w:ascii="宋体" w:hAnsi="宋体" w:cs="宋体"/>
                <w:kern w:val="0"/>
              </w:rPr>
              <w:t>9</w:t>
            </w:r>
          </w:p>
        </w:tc>
        <w:tc>
          <w:tcPr>
            <w:tcW w:w="705" w:type="dxa"/>
            <w:tcBorders>
              <w:top w:val="nil"/>
              <w:left w:val="nil"/>
              <w:bottom w:val="single" w:color="auto" w:sz="4" w:space="0"/>
              <w:right w:val="single" w:color="auto" w:sz="4" w:space="0"/>
            </w:tcBorders>
            <w:vAlign w:val="center"/>
          </w:tcPr>
          <w:p w14:paraId="37344162">
            <w:pPr>
              <w:spacing w:line="320" w:lineRule="exact"/>
              <w:rPr>
                <w:rFonts w:ascii="宋体"/>
                <w:kern w:val="0"/>
              </w:rPr>
            </w:pPr>
            <w:r>
              <w:rPr>
                <w:rFonts w:hint="eastAsia" w:ascii="宋体" w:hAnsi="宋体" w:cs="宋体"/>
                <w:kern w:val="0"/>
              </w:rPr>
              <w:t>群众信访办理情况</w:t>
            </w:r>
          </w:p>
        </w:tc>
        <w:tc>
          <w:tcPr>
            <w:tcW w:w="567" w:type="dxa"/>
            <w:tcBorders>
              <w:top w:val="nil"/>
              <w:left w:val="nil"/>
              <w:bottom w:val="single" w:color="auto" w:sz="4" w:space="0"/>
              <w:right w:val="single" w:color="auto" w:sz="4" w:space="0"/>
            </w:tcBorders>
            <w:vAlign w:val="center"/>
          </w:tcPr>
          <w:p w14:paraId="6ABD1FD8">
            <w:pPr>
              <w:spacing w:line="320" w:lineRule="exact"/>
              <w:jc w:val="center"/>
              <w:rPr>
                <w:rFonts w:ascii="宋体"/>
                <w:kern w:val="0"/>
              </w:rPr>
            </w:pPr>
            <w:r>
              <w:rPr>
                <w:rFonts w:ascii="宋体" w:hAnsi="宋体" w:cs="宋体"/>
                <w:kern w:val="0"/>
              </w:rPr>
              <w:t>3</w:t>
            </w:r>
          </w:p>
        </w:tc>
        <w:tc>
          <w:tcPr>
            <w:tcW w:w="2551" w:type="dxa"/>
            <w:tcBorders>
              <w:top w:val="nil"/>
              <w:left w:val="nil"/>
              <w:bottom w:val="single" w:color="auto" w:sz="4" w:space="0"/>
              <w:right w:val="single" w:color="auto" w:sz="4" w:space="0"/>
            </w:tcBorders>
            <w:vAlign w:val="center"/>
          </w:tcPr>
          <w:p w14:paraId="747B9A1A">
            <w:pPr>
              <w:spacing w:line="320" w:lineRule="exact"/>
              <w:rPr>
                <w:rFonts w:ascii="宋体"/>
                <w:kern w:val="0"/>
              </w:rPr>
            </w:pPr>
            <w:r>
              <w:rPr>
                <w:rFonts w:hint="eastAsia" w:ascii="宋体" w:hAnsi="宋体" w:cs="宋体"/>
                <w:kern w:val="0"/>
              </w:rPr>
              <w:t>部门（单位）对群众信访意见的完成情况及及时性，反映部门（单位）对服务群众的重视程度。</w:t>
            </w:r>
          </w:p>
        </w:tc>
        <w:tc>
          <w:tcPr>
            <w:tcW w:w="7371" w:type="dxa"/>
            <w:tcBorders>
              <w:top w:val="nil"/>
              <w:left w:val="nil"/>
              <w:bottom w:val="single" w:color="auto" w:sz="4" w:space="0"/>
              <w:right w:val="single" w:color="auto" w:sz="4" w:space="0"/>
            </w:tcBorders>
            <w:vAlign w:val="center"/>
          </w:tcPr>
          <w:p w14:paraId="44D3C238">
            <w:pPr>
              <w:spacing w:line="300" w:lineRule="exact"/>
              <w:ind w:firstLine="420" w:firstLineChars="200"/>
              <w:rPr>
                <w:rFonts w:ascii="宋体" w:hAnsi="宋体" w:cs="宋体"/>
                <w:kern w:val="0"/>
              </w:rPr>
            </w:pPr>
            <w:r>
              <w:rPr>
                <w:rFonts w:ascii="宋体" w:hAnsi="宋体" w:cs="宋体"/>
                <w:kern w:val="0"/>
              </w:rPr>
              <w:t>1.</w:t>
            </w:r>
            <w:r>
              <w:rPr>
                <w:rFonts w:hint="eastAsia" w:ascii="宋体" w:hAnsi="宋体" w:cs="宋体"/>
                <w:kern w:val="0"/>
              </w:rPr>
              <w:t>建立了便利的群众意见反映渠道和群众意见办理回复机制（</w:t>
            </w:r>
            <w:r>
              <w:rPr>
                <w:rFonts w:ascii="宋体" w:hAnsi="宋体" w:cs="宋体"/>
                <w:kern w:val="0"/>
              </w:rPr>
              <w:t>1</w:t>
            </w:r>
            <w:r>
              <w:rPr>
                <w:rFonts w:hint="eastAsia" w:ascii="宋体" w:hAnsi="宋体" w:cs="宋体"/>
                <w:kern w:val="0"/>
              </w:rPr>
              <w:t>分）；</w:t>
            </w:r>
          </w:p>
          <w:p w14:paraId="0ACEB20B">
            <w:pPr>
              <w:spacing w:line="300" w:lineRule="exact"/>
              <w:ind w:firstLine="420" w:firstLineChars="200"/>
              <w:rPr>
                <w:rFonts w:ascii="宋体" w:hAnsi="宋体" w:cs="宋体"/>
                <w:kern w:val="0"/>
              </w:rPr>
            </w:pPr>
            <w:r>
              <w:rPr>
                <w:rFonts w:ascii="宋体" w:hAnsi="宋体" w:cs="宋体"/>
                <w:kern w:val="0"/>
              </w:rPr>
              <w:t>2.</w:t>
            </w:r>
            <w:r>
              <w:rPr>
                <w:rFonts w:hint="eastAsia" w:ascii="宋体" w:hAnsi="宋体" w:cs="宋体"/>
                <w:kern w:val="0"/>
              </w:rPr>
              <w:t>当年度群众信访办理回复率达100%（</w:t>
            </w:r>
            <w:r>
              <w:rPr>
                <w:rFonts w:ascii="宋体" w:hAnsi="宋体" w:cs="宋体"/>
                <w:kern w:val="0"/>
              </w:rPr>
              <w:t>1</w:t>
            </w:r>
            <w:r>
              <w:rPr>
                <w:rFonts w:hint="eastAsia" w:ascii="宋体" w:hAnsi="宋体" w:cs="宋体"/>
                <w:kern w:val="0"/>
              </w:rPr>
              <w:t>分）；</w:t>
            </w:r>
          </w:p>
          <w:p w14:paraId="3690FF5A">
            <w:pPr>
              <w:spacing w:line="300" w:lineRule="exact"/>
              <w:ind w:firstLine="420" w:firstLineChars="200"/>
              <w:rPr>
                <w:rFonts w:ascii="宋体" w:hAnsi="宋体" w:cs="宋体"/>
                <w:kern w:val="0"/>
              </w:rPr>
            </w:pPr>
            <w:r>
              <w:rPr>
                <w:rFonts w:ascii="宋体" w:hAnsi="宋体" w:cs="宋体"/>
                <w:kern w:val="0"/>
              </w:rPr>
              <w:t>3.</w:t>
            </w:r>
            <w:r>
              <w:rPr>
                <w:rFonts w:hint="eastAsia" w:ascii="宋体" w:hAnsi="宋体" w:cs="宋体"/>
                <w:kern w:val="0"/>
              </w:rPr>
              <w:t>当年度群众信访及时办理回复率达100%，未发生超期（</w:t>
            </w:r>
            <w:r>
              <w:rPr>
                <w:rFonts w:ascii="宋体" w:hAnsi="宋体" w:cs="宋体"/>
                <w:kern w:val="0"/>
              </w:rPr>
              <w:t>1</w:t>
            </w:r>
            <w:r>
              <w:rPr>
                <w:rFonts w:hint="eastAsia" w:ascii="宋体" w:hAnsi="宋体" w:cs="宋体"/>
                <w:kern w:val="0"/>
              </w:rPr>
              <w:t>分）。</w:t>
            </w:r>
          </w:p>
        </w:tc>
        <w:tc>
          <w:tcPr>
            <w:tcW w:w="851" w:type="dxa"/>
            <w:tcBorders>
              <w:top w:val="nil"/>
              <w:left w:val="nil"/>
              <w:bottom w:val="single" w:color="auto" w:sz="4" w:space="0"/>
              <w:right w:val="single" w:color="auto" w:sz="4" w:space="0"/>
            </w:tcBorders>
            <w:vAlign w:val="center"/>
          </w:tcPr>
          <w:p w14:paraId="73A0F1BD">
            <w:pPr>
              <w:spacing w:line="320" w:lineRule="exact"/>
              <w:jc w:val="center"/>
              <w:rPr>
                <w:rFonts w:ascii="宋体" w:hAnsi="宋体" w:cs="宋体"/>
                <w:kern w:val="0"/>
              </w:rPr>
            </w:pPr>
            <w:r>
              <w:rPr>
                <w:rFonts w:hint="eastAsia" w:ascii="宋体" w:hAnsi="宋体" w:cs="宋体"/>
                <w:kern w:val="0"/>
              </w:rPr>
              <w:t>3</w:t>
            </w:r>
          </w:p>
        </w:tc>
      </w:tr>
      <w:tr w14:paraId="0ACC1152">
        <w:tblPrEx>
          <w:tblCellMar>
            <w:top w:w="0" w:type="dxa"/>
            <w:left w:w="108" w:type="dxa"/>
            <w:bottom w:w="0" w:type="dxa"/>
            <w:right w:w="108" w:type="dxa"/>
          </w:tblCellMar>
        </w:tblPrEx>
        <w:trPr>
          <w:trHeight w:val="1401" w:hRule="atLeast"/>
        </w:trPr>
        <w:tc>
          <w:tcPr>
            <w:tcW w:w="577" w:type="dxa"/>
            <w:vMerge w:val="continue"/>
            <w:tcBorders>
              <w:top w:val="nil"/>
              <w:left w:val="single" w:color="auto" w:sz="4" w:space="0"/>
              <w:bottom w:val="single" w:color="auto" w:sz="4" w:space="0"/>
              <w:right w:val="single" w:color="auto" w:sz="4" w:space="0"/>
            </w:tcBorders>
            <w:vAlign w:val="center"/>
          </w:tcPr>
          <w:p w14:paraId="050E99F7">
            <w:pPr>
              <w:spacing w:line="320" w:lineRule="exact"/>
              <w:rPr>
                <w:rFonts w:ascii="宋体"/>
                <w:kern w:val="0"/>
              </w:rPr>
            </w:pPr>
          </w:p>
        </w:tc>
        <w:tc>
          <w:tcPr>
            <w:tcW w:w="508" w:type="dxa"/>
            <w:vMerge w:val="continue"/>
            <w:tcBorders>
              <w:top w:val="nil"/>
              <w:left w:val="single" w:color="auto" w:sz="4" w:space="0"/>
              <w:bottom w:val="single" w:color="auto" w:sz="4" w:space="0"/>
              <w:right w:val="single" w:color="auto" w:sz="4" w:space="0"/>
            </w:tcBorders>
            <w:vAlign w:val="center"/>
          </w:tcPr>
          <w:p w14:paraId="1C354DEF">
            <w:pPr>
              <w:spacing w:line="320" w:lineRule="exact"/>
              <w:rPr>
                <w:rFonts w:ascii="宋体"/>
                <w:kern w:val="0"/>
              </w:rPr>
            </w:pPr>
          </w:p>
        </w:tc>
        <w:tc>
          <w:tcPr>
            <w:tcW w:w="547" w:type="dxa"/>
            <w:vMerge w:val="continue"/>
            <w:tcBorders>
              <w:top w:val="nil"/>
              <w:left w:val="single" w:color="auto" w:sz="4" w:space="0"/>
              <w:bottom w:val="single" w:color="auto" w:sz="4" w:space="0"/>
              <w:right w:val="single" w:color="auto" w:sz="4" w:space="0"/>
            </w:tcBorders>
            <w:vAlign w:val="center"/>
          </w:tcPr>
          <w:p w14:paraId="43FB8A53">
            <w:pPr>
              <w:spacing w:line="320" w:lineRule="exact"/>
              <w:rPr>
                <w:rFonts w:ascii="宋体"/>
                <w:kern w:val="0"/>
              </w:rPr>
            </w:pPr>
          </w:p>
        </w:tc>
        <w:tc>
          <w:tcPr>
            <w:tcW w:w="571" w:type="dxa"/>
            <w:vMerge w:val="continue"/>
            <w:tcBorders>
              <w:top w:val="nil"/>
              <w:left w:val="single" w:color="auto" w:sz="4" w:space="0"/>
              <w:bottom w:val="single" w:color="auto" w:sz="4" w:space="0"/>
              <w:right w:val="single" w:color="auto" w:sz="4" w:space="0"/>
            </w:tcBorders>
            <w:vAlign w:val="center"/>
          </w:tcPr>
          <w:p w14:paraId="23F6642A">
            <w:pPr>
              <w:spacing w:line="320" w:lineRule="exact"/>
              <w:rPr>
                <w:rFonts w:ascii="宋体"/>
                <w:kern w:val="0"/>
              </w:rPr>
            </w:pPr>
          </w:p>
        </w:tc>
        <w:tc>
          <w:tcPr>
            <w:tcW w:w="705" w:type="dxa"/>
            <w:tcBorders>
              <w:top w:val="nil"/>
              <w:left w:val="nil"/>
              <w:bottom w:val="single" w:color="auto" w:sz="4" w:space="0"/>
              <w:right w:val="single" w:color="auto" w:sz="4" w:space="0"/>
            </w:tcBorders>
            <w:vAlign w:val="center"/>
          </w:tcPr>
          <w:p w14:paraId="3E6D5E7F">
            <w:pPr>
              <w:spacing w:line="320" w:lineRule="exact"/>
              <w:rPr>
                <w:rFonts w:ascii="宋体"/>
                <w:kern w:val="0"/>
              </w:rPr>
            </w:pPr>
            <w:r>
              <w:rPr>
                <w:rFonts w:hint="eastAsia" w:ascii="宋体" w:hAnsi="宋体" w:cs="宋体"/>
                <w:kern w:val="0"/>
              </w:rPr>
              <w:t>公众或服务对象满意度</w:t>
            </w:r>
          </w:p>
        </w:tc>
        <w:tc>
          <w:tcPr>
            <w:tcW w:w="567" w:type="dxa"/>
            <w:tcBorders>
              <w:top w:val="nil"/>
              <w:left w:val="nil"/>
              <w:bottom w:val="single" w:color="auto" w:sz="4" w:space="0"/>
              <w:right w:val="single" w:color="auto" w:sz="4" w:space="0"/>
            </w:tcBorders>
            <w:vAlign w:val="center"/>
          </w:tcPr>
          <w:p w14:paraId="04CF13AB">
            <w:pPr>
              <w:spacing w:line="320" w:lineRule="exact"/>
              <w:jc w:val="center"/>
              <w:rPr>
                <w:rFonts w:ascii="宋体"/>
                <w:kern w:val="0"/>
              </w:rPr>
            </w:pPr>
            <w:r>
              <w:rPr>
                <w:rFonts w:hint="eastAsia" w:ascii="宋体" w:hAnsi="宋体" w:cs="宋体"/>
                <w:kern w:val="0"/>
              </w:rPr>
              <w:t>6</w:t>
            </w:r>
          </w:p>
        </w:tc>
        <w:tc>
          <w:tcPr>
            <w:tcW w:w="2551" w:type="dxa"/>
            <w:tcBorders>
              <w:top w:val="nil"/>
              <w:left w:val="nil"/>
              <w:bottom w:val="single" w:color="auto" w:sz="4" w:space="0"/>
              <w:right w:val="single" w:color="auto" w:sz="4" w:space="0"/>
            </w:tcBorders>
            <w:vAlign w:val="center"/>
          </w:tcPr>
          <w:p w14:paraId="17323F52">
            <w:pPr>
              <w:spacing w:line="320" w:lineRule="exact"/>
              <w:rPr>
                <w:rFonts w:ascii="宋体"/>
                <w:kern w:val="0"/>
              </w:rPr>
            </w:pPr>
            <w:r>
              <w:rPr>
                <w:rFonts w:hint="eastAsia" w:ascii="宋体" w:hAnsi="宋体" w:cs="宋体"/>
                <w:kern w:val="0"/>
              </w:rPr>
              <w:t>反映社会公众或部门（单位）的服务对象对部门履职效果的满意度。</w:t>
            </w:r>
          </w:p>
        </w:tc>
        <w:tc>
          <w:tcPr>
            <w:tcW w:w="7371" w:type="dxa"/>
            <w:tcBorders>
              <w:top w:val="single" w:color="auto" w:sz="4" w:space="0"/>
              <w:left w:val="nil"/>
              <w:bottom w:val="single" w:color="auto" w:sz="4" w:space="0"/>
              <w:right w:val="single" w:color="auto" w:sz="4" w:space="0"/>
            </w:tcBorders>
            <w:vAlign w:val="center"/>
          </w:tcPr>
          <w:p w14:paraId="7DB3E91A">
            <w:pPr>
              <w:spacing w:line="300" w:lineRule="exact"/>
              <w:ind w:firstLine="420" w:firstLineChars="200"/>
              <w:rPr>
                <w:rFonts w:ascii="宋体" w:hAnsi="宋体" w:cs="宋体"/>
                <w:kern w:val="0"/>
              </w:rPr>
            </w:pPr>
            <w:r>
              <w:rPr>
                <w:rFonts w:hint="eastAsia" w:ascii="宋体" w:hAnsi="宋体" w:cs="宋体"/>
                <w:kern w:val="0"/>
              </w:rPr>
              <w:t>社会公众或服务对象是指部门（单位）履行职责而影响到的部门、群体或个人，一般采取社会调查的方式。如难以单独开展满意度调查的，可参考区统计部门的数据、年度区直民主评议政风行风评价结果等数据，或者参考群众信访反馈的普遍性问题、我局或权威第三方机构的开展满意度调查等进行分档计分。</w:t>
            </w:r>
          </w:p>
          <w:p w14:paraId="7A02931C">
            <w:pPr>
              <w:spacing w:line="300" w:lineRule="exact"/>
              <w:ind w:firstLine="420" w:firstLineChars="200"/>
              <w:rPr>
                <w:rFonts w:ascii="宋体" w:hAnsi="宋体" w:cs="宋体"/>
                <w:kern w:val="0"/>
              </w:rPr>
            </w:pPr>
            <w:r>
              <w:rPr>
                <w:rFonts w:hint="eastAsia" w:ascii="宋体" w:hAnsi="宋体" w:cs="宋体"/>
                <w:kern w:val="0"/>
              </w:rPr>
              <w:t>1.满意度≥95%的，得6分；</w:t>
            </w:r>
          </w:p>
          <w:p w14:paraId="4FD2A55D">
            <w:pPr>
              <w:spacing w:line="300" w:lineRule="exact"/>
              <w:ind w:firstLine="420" w:firstLineChars="200"/>
              <w:rPr>
                <w:rFonts w:ascii="宋体" w:hAnsi="宋体" w:cs="宋体"/>
                <w:kern w:val="0"/>
              </w:rPr>
            </w:pPr>
            <w:r>
              <w:rPr>
                <w:rFonts w:hint="eastAsia" w:ascii="宋体" w:hAnsi="宋体" w:cs="宋体"/>
                <w:kern w:val="0"/>
              </w:rPr>
              <w:t>2. 90%≤满意度＜95%的，得4分；</w:t>
            </w:r>
          </w:p>
          <w:p w14:paraId="5F1EB4EE">
            <w:pPr>
              <w:spacing w:line="300" w:lineRule="exact"/>
              <w:ind w:firstLine="420" w:firstLineChars="200"/>
              <w:rPr>
                <w:rFonts w:ascii="宋体" w:hAnsi="宋体" w:cs="宋体"/>
                <w:kern w:val="0"/>
              </w:rPr>
            </w:pPr>
            <w:r>
              <w:rPr>
                <w:rFonts w:hint="eastAsia" w:ascii="宋体" w:hAnsi="宋体" w:cs="宋体"/>
                <w:kern w:val="0"/>
              </w:rPr>
              <w:t>3. 80%≤满意度＜90%的，得2分；</w:t>
            </w:r>
          </w:p>
          <w:p w14:paraId="380FE7A0">
            <w:pPr>
              <w:spacing w:line="300" w:lineRule="exact"/>
              <w:ind w:firstLine="420" w:firstLineChars="200"/>
              <w:rPr>
                <w:rFonts w:ascii="宋体"/>
                <w:kern w:val="0"/>
              </w:rPr>
            </w:pPr>
            <w:r>
              <w:rPr>
                <w:rFonts w:hint="eastAsia" w:ascii="宋体" w:hAnsi="宋体" w:cs="宋体"/>
                <w:kern w:val="0"/>
              </w:rPr>
              <w:t>4. 满意度＜80%的，得1分。</w:t>
            </w:r>
          </w:p>
        </w:tc>
        <w:tc>
          <w:tcPr>
            <w:tcW w:w="851" w:type="dxa"/>
            <w:tcBorders>
              <w:top w:val="nil"/>
              <w:left w:val="nil"/>
              <w:bottom w:val="single" w:color="auto" w:sz="4" w:space="0"/>
              <w:right w:val="single" w:color="auto" w:sz="4" w:space="0"/>
            </w:tcBorders>
            <w:vAlign w:val="center"/>
          </w:tcPr>
          <w:p w14:paraId="5535C4CF">
            <w:pPr>
              <w:spacing w:line="320" w:lineRule="exact"/>
              <w:jc w:val="center"/>
              <w:rPr>
                <w:rFonts w:ascii="宋体" w:hAnsi="宋体" w:cs="宋体"/>
                <w:kern w:val="0"/>
              </w:rPr>
            </w:pPr>
            <w:r>
              <w:rPr>
                <w:rFonts w:hint="eastAsia" w:ascii="宋体" w:hAnsi="宋体" w:cs="宋体"/>
                <w:kern w:val="0"/>
              </w:rPr>
              <w:t>6</w:t>
            </w:r>
          </w:p>
        </w:tc>
      </w:tr>
      <w:tr w14:paraId="586C3621">
        <w:tblPrEx>
          <w:tblCellMar>
            <w:top w:w="0" w:type="dxa"/>
            <w:left w:w="108" w:type="dxa"/>
            <w:bottom w:w="0" w:type="dxa"/>
            <w:right w:w="108" w:type="dxa"/>
          </w:tblCellMar>
        </w:tblPrEx>
        <w:trPr>
          <w:trHeight w:val="572" w:hRule="atLeast"/>
        </w:trPr>
        <w:tc>
          <w:tcPr>
            <w:tcW w:w="13397" w:type="dxa"/>
            <w:gridSpan w:val="8"/>
            <w:tcBorders>
              <w:top w:val="single" w:color="auto" w:sz="4" w:space="0"/>
              <w:left w:val="single" w:color="auto" w:sz="4" w:space="0"/>
              <w:bottom w:val="single" w:color="auto" w:sz="4" w:space="0"/>
              <w:right w:val="single" w:color="auto" w:sz="4" w:space="0"/>
            </w:tcBorders>
            <w:vAlign w:val="center"/>
          </w:tcPr>
          <w:p w14:paraId="51C11B47">
            <w:pPr>
              <w:spacing w:line="300" w:lineRule="exact"/>
              <w:jc w:val="center"/>
              <w:rPr>
                <w:rFonts w:ascii="宋体" w:hAnsi="宋体" w:cs="宋体"/>
                <w:kern w:val="0"/>
              </w:rPr>
            </w:pPr>
            <w:r>
              <w:rPr>
                <w:rFonts w:hint="eastAsia" w:ascii="宋体" w:hAnsi="宋体" w:cs="宋体"/>
                <w:b/>
                <w:bCs/>
                <w:kern w:val="0"/>
              </w:rPr>
              <w:t>总得分情况</w:t>
            </w:r>
          </w:p>
        </w:tc>
        <w:tc>
          <w:tcPr>
            <w:tcW w:w="851" w:type="dxa"/>
            <w:tcBorders>
              <w:top w:val="single" w:color="auto" w:sz="4" w:space="0"/>
              <w:left w:val="nil"/>
              <w:bottom w:val="single" w:color="auto" w:sz="4" w:space="0"/>
              <w:right w:val="single" w:color="auto" w:sz="4" w:space="0"/>
            </w:tcBorders>
            <w:vAlign w:val="center"/>
          </w:tcPr>
          <w:p w14:paraId="78405E3D">
            <w:pPr>
              <w:spacing w:line="320" w:lineRule="exact"/>
              <w:rPr>
                <w:rFonts w:ascii="宋体" w:hAnsi="宋体" w:cs="宋体"/>
                <w:kern w:val="0"/>
              </w:rPr>
            </w:pPr>
            <w:r>
              <w:rPr>
                <w:rFonts w:hint="eastAsia" w:ascii="宋体" w:hAnsi="宋体" w:cs="宋体"/>
                <w:kern w:val="0"/>
              </w:rPr>
              <w:t>94.94</w:t>
            </w:r>
          </w:p>
        </w:tc>
      </w:tr>
    </w:tbl>
    <w:p w14:paraId="4A658673"/>
    <w:p w14:paraId="33E3CA49"/>
    <w:sectPr>
      <w:pgSz w:w="16839" w:h="11907" w:orient="landscape"/>
      <w:pgMar w:top="1134" w:right="1440" w:bottom="851"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6EDF85"/>
    <w:multiLevelType w:val="singleLevel"/>
    <w:tmpl w:val="CD6EDF85"/>
    <w:lvl w:ilvl="0" w:tentative="0">
      <w:start w:val="1"/>
      <w:numFmt w:val="decimal"/>
      <w:suff w:val="nothing"/>
      <w:lvlText w:val="%1、"/>
      <w:lvlJc w:val="left"/>
      <w:pPr>
        <w:ind w:left="-220"/>
      </w:pPr>
    </w:lvl>
  </w:abstractNum>
  <w:abstractNum w:abstractNumId="1">
    <w:nsid w:val="40F05FDC"/>
    <w:multiLevelType w:val="singleLevel"/>
    <w:tmpl w:val="40F05FDC"/>
    <w:lvl w:ilvl="0" w:tentative="0">
      <w:start w:val="4"/>
      <w:numFmt w:val="decimal"/>
      <w:suff w:val="nothing"/>
      <w:lvlText w:val="%1、"/>
      <w:lvlJc w:val="left"/>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Unknown">
    <w15:presenceInfo w15:providerId="None" w15:userId="Unknow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JiYzRjZDg4ODIxMmZkMzVjYzYxNzIzMDEwYjJjY2IifQ=="/>
  </w:docVars>
  <w:rsids>
    <w:rsidRoot w:val="00172A27"/>
    <w:rsid w:val="00015287"/>
    <w:rsid w:val="000757DF"/>
    <w:rsid w:val="000C1693"/>
    <w:rsid w:val="000C7F39"/>
    <w:rsid w:val="000D5ECC"/>
    <w:rsid w:val="001071E8"/>
    <w:rsid w:val="00156F7B"/>
    <w:rsid w:val="00172A27"/>
    <w:rsid w:val="00186083"/>
    <w:rsid w:val="001A4FCA"/>
    <w:rsid w:val="001C3269"/>
    <w:rsid w:val="001E1A5E"/>
    <w:rsid w:val="001E702E"/>
    <w:rsid w:val="001F5AA4"/>
    <w:rsid w:val="00201F4A"/>
    <w:rsid w:val="00235966"/>
    <w:rsid w:val="002A7700"/>
    <w:rsid w:val="002E0FBC"/>
    <w:rsid w:val="00323B8D"/>
    <w:rsid w:val="003338E5"/>
    <w:rsid w:val="003577C2"/>
    <w:rsid w:val="00382649"/>
    <w:rsid w:val="0039065E"/>
    <w:rsid w:val="00394B68"/>
    <w:rsid w:val="003B1900"/>
    <w:rsid w:val="003D5362"/>
    <w:rsid w:val="003F3BCB"/>
    <w:rsid w:val="00447BDD"/>
    <w:rsid w:val="004A3245"/>
    <w:rsid w:val="004B47F6"/>
    <w:rsid w:val="00540425"/>
    <w:rsid w:val="005558E8"/>
    <w:rsid w:val="00567E10"/>
    <w:rsid w:val="00567EEA"/>
    <w:rsid w:val="0058344B"/>
    <w:rsid w:val="005A7B7C"/>
    <w:rsid w:val="005C793D"/>
    <w:rsid w:val="005D6FD8"/>
    <w:rsid w:val="006020C4"/>
    <w:rsid w:val="006668F7"/>
    <w:rsid w:val="00670E00"/>
    <w:rsid w:val="006A08E5"/>
    <w:rsid w:val="006A0B18"/>
    <w:rsid w:val="006A2502"/>
    <w:rsid w:val="006A6BCF"/>
    <w:rsid w:val="006E2C6E"/>
    <w:rsid w:val="006F0724"/>
    <w:rsid w:val="007206D6"/>
    <w:rsid w:val="00740303"/>
    <w:rsid w:val="00782DA0"/>
    <w:rsid w:val="007965BE"/>
    <w:rsid w:val="007979E7"/>
    <w:rsid w:val="007B1093"/>
    <w:rsid w:val="007C6A8D"/>
    <w:rsid w:val="007C77C0"/>
    <w:rsid w:val="007E03B1"/>
    <w:rsid w:val="007E16C0"/>
    <w:rsid w:val="007F11FC"/>
    <w:rsid w:val="0082684A"/>
    <w:rsid w:val="00826ECE"/>
    <w:rsid w:val="0085384E"/>
    <w:rsid w:val="00866D4F"/>
    <w:rsid w:val="00886EBB"/>
    <w:rsid w:val="008C01DD"/>
    <w:rsid w:val="008C5E9F"/>
    <w:rsid w:val="008D3C34"/>
    <w:rsid w:val="00907B9F"/>
    <w:rsid w:val="009254A3"/>
    <w:rsid w:val="009374E9"/>
    <w:rsid w:val="0094704A"/>
    <w:rsid w:val="009803FA"/>
    <w:rsid w:val="009B6BB4"/>
    <w:rsid w:val="009C4DEE"/>
    <w:rsid w:val="009C5268"/>
    <w:rsid w:val="009D5601"/>
    <w:rsid w:val="009F2ABC"/>
    <w:rsid w:val="00A327AA"/>
    <w:rsid w:val="00A458AB"/>
    <w:rsid w:val="00A50CCC"/>
    <w:rsid w:val="00A671C9"/>
    <w:rsid w:val="00AA2E1E"/>
    <w:rsid w:val="00AA5338"/>
    <w:rsid w:val="00AC140F"/>
    <w:rsid w:val="00AD197F"/>
    <w:rsid w:val="00AD4C3B"/>
    <w:rsid w:val="00AD7537"/>
    <w:rsid w:val="00AE5669"/>
    <w:rsid w:val="00B012E2"/>
    <w:rsid w:val="00B04AB3"/>
    <w:rsid w:val="00B16374"/>
    <w:rsid w:val="00B9050E"/>
    <w:rsid w:val="00BB7A05"/>
    <w:rsid w:val="00BD192D"/>
    <w:rsid w:val="00BD62D1"/>
    <w:rsid w:val="00BF495A"/>
    <w:rsid w:val="00C21522"/>
    <w:rsid w:val="00C2157C"/>
    <w:rsid w:val="00C409C6"/>
    <w:rsid w:val="00C702B8"/>
    <w:rsid w:val="00C95E73"/>
    <w:rsid w:val="00CB6C81"/>
    <w:rsid w:val="00CB7FE9"/>
    <w:rsid w:val="00CC0E1B"/>
    <w:rsid w:val="00CC66F3"/>
    <w:rsid w:val="00CC7C71"/>
    <w:rsid w:val="00CD69A4"/>
    <w:rsid w:val="00CF058B"/>
    <w:rsid w:val="00D50E3A"/>
    <w:rsid w:val="00D86FE6"/>
    <w:rsid w:val="00DC002F"/>
    <w:rsid w:val="00DD1293"/>
    <w:rsid w:val="00E61598"/>
    <w:rsid w:val="00E71C7C"/>
    <w:rsid w:val="00E975EF"/>
    <w:rsid w:val="00F05CC5"/>
    <w:rsid w:val="00F85BCF"/>
    <w:rsid w:val="00FA665A"/>
    <w:rsid w:val="04EF7114"/>
    <w:rsid w:val="0B0E30C9"/>
    <w:rsid w:val="10BD281A"/>
    <w:rsid w:val="12B44556"/>
    <w:rsid w:val="14740823"/>
    <w:rsid w:val="14E42223"/>
    <w:rsid w:val="152D64AE"/>
    <w:rsid w:val="163530EF"/>
    <w:rsid w:val="19FE29FD"/>
    <w:rsid w:val="1C4A7B67"/>
    <w:rsid w:val="1CCE4466"/>
    <w:rsid w:val="1EF01BF8"/>
    <w:rsid w:val="1F070ACE"/>
    <w:rsid w:val="26C83D4C"/>
    <w:rsid w:val="27312FA1"/>
    <w:rsid w:val="29DA269C"/>
    <w:rsid w:val="2B177920"/>
    <w:rsid w:val="320712B6"/>
    <w:rsid w:val="3DDA397C"/>
    <w:rsid w:val="414F176A"/>
    <w:rsid w:val="47C84199"/>
    <w:rsid w:val="490A1488"/>
    <w:rsid w:val="4D0940DA"/>
    <w:rsid w:val="52AA1017"/>
    <w:rsid w:val="534A15D0"/>
    <w:rsid w:val="538D21C9"/>
    <w:rsid w:val="577A2982"/>
    <w:rsid w:val="57BA57DE"/>
    <w:rsid w:val="59C36018"/>
    <w:rsid w:val="5C4E27F6"/>
    <w:rsid w:val="5E762F5D"/>
    <w:rsid w:val="5EAD0973"/>
    <w:rsid w:val="617C4076"/>
    <w:rsid w:val="63620A31"/>
    <w:rsid w:val="63731059"/>
    <w:rsid w:val="676D753A"/>
    <w:rsid w:val="6A5C61DA"/>
    <w:rsid w:val="6A771266"/>
    <w:rsid w:val="6A8B5E4B"/>
    <w:rsid w:val="76452E59"/>
    <w:rsid w:val="7912724C"/>
    <w:rsid w:val="79254583"/>
    <w:rsid w:val="798620DE"/>
    <w:rsid w:val="BFBFDD5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nhideWhenUsed="0" w:uiPriority="9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400" w:after="400" w:line="560" w:lineRule="exact"/>
      <w:jc w:val="left"/>
      <w:outlineLvl w:val="0"/>
    </w:pPr>
    <w:rPr>
      <w:rFonts w:ascii="黑体" w:hAnsi="黑体" w:eastAsia="黑体"/>
      <w:bCs/>
      <w:kern w:val="44"/>
      <w:szCs w:val="44"/>
    </w:rPr>
  </w:style>
  <w:style w:type="paragraph" w:styleId="4">
    <w:name w:val="heading 4"/>
    <w:basedOn w:val="1"/>
    <w:next w:val="1"/>
    <w:qFormat/>
    <w:uiPriority w:val="99"/>
    <w:pPr>
      <w:keepNext/>
      <w:keepLines/>
      <w:spacing w:before="280" w:after="290" w:line="376" w:lineRule="auto"/>
      <w:outlineLvl w:val="3"/>
    </w:pPr>
    <w:rPr>
      <w:rFonts w:ascii="Cambria" w:hAnsi="Cambria" w:cs="Cambria"/>
      <w:b/>
      <w:bCs/>
      <w:sz w:val="28"/>
      <w:szCs w:val="28"/>
    </w:rPr>
  </w:style>
  <w:style w:type="character" w:default="1" w:styleId="11">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Body Text Indent 2"/>
    <w:basedOn w:val="1"/>
    <w:qFormat/>
    <w:uiPriority w:val="0"/>
    <w:pPr>
      <w:spacing w:line="590" w:lineRule="exact"/>
      <w:ind w:firstLine="880" w:firstLineChars="200"/>
    </w:pPr>
    <w:rPr>
      <w:rFonts w:eastAsia="方正仿宋_GBK"/>
      <w:sz w:val="32"/>
      <w:szCs w:val="32"/>
    </w:rPr>
  </w:style>
  <w:style w:type="paragraph" w:styleId="5">
    <w:name w:val="Body Text"/>
    <w:basedOn w:val="1"/>
    <w:next w:val="1"/>
    <w:qFormat/>
    <w:uiPriority w:val="0"/>
    <w:pPr>
      <w:spacing w:after="120"/>
    </w:pPr>
    <w:rPr>
      <w:rFonts w:ascii="Calibri" w:hAnsi="Calibri"/>
      <w:szCs w:val="22"/>
    </w:rPr>
  </w:style>
  <w:style w:type="paragraph" w:styleId="6">
    <w:name w:val="Balloon Text"/>
    <w:basedOn w:val="1"/>
    <w:link w:val="13"/>
    <w:unhideWhenUsed/>
    <w:qFormat/>
    <w:uiPriority w:val="99"/>
    <w:rPr>
      <w:sz w:val="18"/>
      <w:szCs w:val="18"/>
    </w:r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customStyle="1" w:styleId="13">
    <w:name w:val="批注框文本 字符"/>
    <w:basedOn w:val="11"/>
    <w:link w:val="6"/>
    <w:semiHidden/>
    <w:qFormat/>
    <w:uiPriority w:val="99"/>
    <w:rPr>
      <w:rFonts w:ascii="Times New Roman" w:hAnsi="Times New Roman" w:eastAsia="宋体" w:cs="Times New Roman"/>
      <w:sz w:val="18"/>
      <w:szCs w:val="18"/>
    </w:rPr>
  </w:style>
  <w:style w:type="character" w:customStyle="1" w:styleId="14">
    <w:name w:val="页眉 字符"/>
    <w:basedOn w:val="11"/>
    <w:link w:val="8"/>
    <w:semiHidden/>
    <w:qFormat/>
    <w:uiPriority w:val="99"/>
    <w:rPr>
      <w:rFonts w:ascii="Times New Roman" w:hAnsi="Times New Roman" w:eastAsia="宋体" w:cs="Times New Roman"/>
      <w:sz w:val="18"/>
      <w:szCs w:val="18"/>
    </w:rPr>
  </w:style>
  <w:style w:type="character" w:customStyle="1" w:styleId="15">
    <w:name w:val="页脚 字符"/>
    <w:basedOn w:val="11"/>
    <w:link w:val="7"/>
    <w:semiHidden/>
    <w:qFormat/>
    <w:uiPriority w:val="99"/>
    <w:rPr>
      <w:rFonts w:ascii="Times New Roman" w:hAnsi="Times New Roman" w:eastAsia="宋体" w:cs="Times New Roman"/>
      <w:sz w:val="18"/>
      <w:szCs w:val="18"/>
    </w:rPr>
  </w:style>
  <w:style w:type="character" w:customStyle="1" w:styleId="16">
    <w:name w:val="NormalCharacter"/>
    <w:qFormat/>
    <w:uiPriority w:val="0"/>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e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27</Pages>
  <Words>14621</Words>
  <Characters>15789</Characters>
  <Lines>122</Lines>
  <Paragraphs>34</Paragraphs>
  <TotalTime>22</TotalTime>
  <ScaleCrop>false</ScaleCrop>
  <LinksUpToDate>false</LinksUpToDate>
  <CharactersWithSpaces>15915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2019-03-07T11:34:00Z</dcterms:created>
  <dc:creator>桂鑫</dc:creator>
  <cp:lastModifiedBy>李昊毅</cp:lastModifiedBy>
  <dcterms:modified xsi:type="dcterms:W3CDTF">2025-08-14T09:58:17Z</dcterms:modified>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6FCD91436F8045E6B554FA3EBC94DA49</vt:lpwstr>
  </property>
  <property fmtid="{D5CDD505-2E9C-101B-9397-08002B2CF9AE}" pid="4" name="KSOTemplateDocerSaveRecord">
    <vt:lpwstr>eyJoZGlkIjoiOGJmMWM2ZjNjZDhlZTdhMDIyNjQ5NDczNjMyY2U5NWMiLCJ1c2VySWQiOiI2MDEyNTQzNTIifQ==</vt:lpwstr>
  </property>
</Properties>
</file>