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firstLine="0" w:firstLineChars="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36"/>
          <w:szCs w:val="36"/>
        </w:rPr>
      </w:pPr>
      <w:r>
        <w:rPr>
          <w:rFonts w:hint="eastAsia" w:ascii="黑体" w:hAnsi="黑体" w:eastAsia="黑体" w:cs="黑体"/>
          <w:b w:val="0"/>
          <w:bCs w:val="0"/>
          <w:sz w:val="32"/>
          <w:szCs w:val="32"/>
          <w:lang w:eastAsia="zh-CN"/>
        </w:rPr>
        <w:t>项目</w:t>
      </w:r>
      <w:r>
        <w:rPr>
          <w:rFonts w:hint="eastAsia" w:ascii="黑体" w:hAnsi="黑体" w:eastAsia="黑体" w:cs="黑体"/>
          <w:b w:val="0"/>
          <w:bCs w:val="0"/>
          <w:sz w:val="32"/>
          <w:szCs w:val="32"/>
        </w:rPr>
        <w:t>采购需求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一、采购项目概况</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福田区财政投资评审中心于2024年10月挂牌成立，具体业务是对福田区政府投资项目的预算、结算、决算进行审核，现结合我区近三年投资项目的情况，待审核的项目数量将一直保持高位，给福田财审中心带来繁重的工作量，同时在“数字政府、深圳90、智慧福田”等政策的背景下，对中心审核流程、审核时限、审核质量等提出了更高要求。因此财评中心需借助信息化手段，建设财政投资项目审核信息管理系统，可以有效解决当前业务管理面临的问题。系统将为福田区财政投资评审中心以及项目申报单位、项目评审小组、项目协审单位提供标准、高效、规范的服务，各用户主体在系统协作配合，可助力项目评审业务更加“科学、高效、公正”。</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为加快落实福田区财政投资业务管理系统开发建设工作，中心拟采购系统开发公司，完成系统开发、数据库采购等工作，具体如下：</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一）系统开发。开发内容共包含八大模块，分别为“申报端/协审端管理、工作台管理、项目受理管理、项目评审管理、协审复审管理、统计分析、系统管理、接口管理”系统建设。明细如下：（1）申报端/协审端管理：建设单位项目的“新建、查看、编辑、提交、受理通知、资料补交、初审结果告知、征求意见反馈、审核报告、发函”；协审单位的“查看、发函、承诺书、审核”；（2）工作台管理：我的工作台、我的待办、我的已办；（3）项目受理管理：资料接受、项目分配、项目受理；（4）项目评审管理：正式评审、征求意见、审核业务会议、变更审核、报告审批、报告办结、项目查询、函件管理；（5）协审复审管理：协审单位信息管理、评价指标维护、协审费用公示维护、复核协审评价及验收管理、复核协审费用及审核管理；（6）统计分析：统计分析图、分析分析表；（7）系统管理：部门管理、用户管理、角色管理、模块管理、数据字典、建设单位管理；（8）接口管理：与福田区OA系统集成，支持单点登录访问。</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（二）采购系统数据库软件，品牌为达梦数据库，数量为2套。</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（三）系统开发验收完成后运行维护工作。</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lang w:val="en-US" w:eastAsia="zh-CN"/>
        </w:rPr>
      </w:pPr>
      <w:r>
        <w:rPr>
          <w:rFonts w:hint="eastAsia" w:ascii="黑体" w:hAnsi="黑体" w:eastAsia="黑体" w:cs="黑体"/>
          <w:b w:val="0"/>
          <w:bCs/>
          <w:color w:val="auto"/>
          <w:sz w:val="28"/>
          <w:szCs w:val="28"/>
        </w:rPr>
        <w:t>二、项目管理和服务要求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default" w:ascii="仿宋_GB2312" w:eastAsia="仿宋_GB2312"/>
          <w:b w:val="0"/>
          <w:bCs/>
          <w:color w:val="auto"/>
          <w:sz w:val="28"/>
          <w:szCs w:val="28"/>
          <w:lang w:val="en-US"/>
        </w:rPr>
      </w:pPr>
      <w:r>
        <w:rPr>
          <w:rFonts w:hint="eastAsia" w:ascii="仿宋_GB2312" w:eastAsia="仿宋_GB2312"/>
          <w:b w:val="0"/>
          <w:bCs/>
          <w:color w:val="auto"/>
          <w:sz w:val="28"/>
          <w:szCs w:val="28"/>
          <w:lang w:val="en-US" w:eastAsia="zh-CN"/>
        </w:rPr>
        <w:t>按财评中心要求完成系统建设工作，并指定一名熟悉业务的公司人员负责与中心对接工作，系统开发建成后根据财评中心需求免费开展业务培训及系统操作教学。</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三、商务需求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cs="Times New Roman"/>
          <w:b w:val="0"/>
          <w:bCs/>
          <w:color w:val="auto"/>
          <w:sz w:val="28"/>
          <w:szCs w:val="28"/>
          <w:highlight w:val="none"/>
        </w:rPr>
      </w:pPr>
      <w:r>
        <w:rPr>
          <w:rFonts w:hint="eastAsia" w:ascii="仿宋_GB2312" w:eastAsia="仿宋_GB2312"/>
          <w:b w:val="0"/>
          <w:bCs/>
          <w:color w:val="auto"/>
          <w:sz w:val="28"/>
          <w:szCs w:val="28"/>
          <w:lang w:eastAsia="zh-CN"/>
        </w:rPr>
        <w:t>（一）</w:t>
      </w:r>
      <w:r>
        <w:rPr>
          <w:rFonts w:hint="eastAsia" w:ascii="仿宋_GB2312" w:eastAsia="仿宋_GB2312"/>
          <w:b w:val="0"/>
          <w:bCs/>
          <w:color w:val="auto"/>
          <w:sz w:val="28"/>
          <w:szCs w:val="28"/>
          <w:lang w:val="en-US" w:eastAsia="zh-CN"/>
        </w:rPr>
        <w:t>建设周期</w:t>
      </w:r>
      <w:r>
        <w:rPr>
          <w:rFonts w:hint="eastAsia" w:ascii="仿宋_GB2312" w:eastAsia="仿宋_GB2312" w:cs="Times New Roman"/>
          <w:b w:val="0"/>
          <w:bCs/>
          <w:color w:val="auto"/>
          <w:sz w:val="28"/>
          <w:szCs w:val="28"/>
          <w:highlight w:val="none"/>
        </w:rPr>
        <w:t>：</w:t>
      </w:r>
      <w:r>
        <w:rPr>
          <w:rFonts w:hint="eastAsia" w:ascii="仿宋_GB2312" w:eastAsia="仿宋_GB2312" w:cs="Times New Roman"/>
          <w:b w:val="0"/>
          <w:bCs/>
          <w:color w:val="auto"/>
          <w:sz w:val="28"/>
          <w:szCs w:val="28"/>
          <w:highlight w:val="none"/>
          <w:lang w:val="en-US" w:eastAsia="zh-CN"/>
        </w:rPr>
        <w:t>9个</w:t>
      </w:r>
      <w:r>
        <w:rPr>
          <w:rFonts w:hint="eastAsia" w:ascii="仿宋_GB2312" w:eastAsia="仿宋_GB2312" w:cs="Times New Roman"/>
          <w:b w:val="0"/>
          <w:bCs/>
          <w:color w:val="auto"/>
          <w:sz w:val="28"/>
          <w:szCs w:val="28"/>
          <w:highlight w:val="none"/>
        </w:rPr>
        <w:t>月</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highlight w:val="none"/>
          <w:lang w:eastAsia="zh-CN"/>
        </w:rPr>
        <w:t>（二）</w:t>
      </w:r>
      <w:r>
        <w:rPr>
          <w:rFonts w:hint="eastAsia" w:ascii="仿宋_GB2312" w:eastAsia="仿宋_GB2312"/>
          <w:b w:val="0"/>
          <w:bCs/>
          <w:color w:val="auto"/>
          <w:sz w:val="28"/>
          <w:szCs w:val="28"/>
          <w:highlight w:val="none"/>
        </w:rPr>
        <w:t>服务地点：在采购人指定地点</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（三）</w:t>
      </w:r>
      <w:r>
        <w:rPr>
          <w:rFonts w:hint="eastAsia" w:ascii="仿宋_GB2312" w:eastAsia="仿宋_GB2312"/>
          <w:b w:val="0"/>
          <w:bCs/>
          <w:color w:val="auto"/>
          <w:sz w:val="28"/>
          <w:szCs w:val="28"/>
        </w:rPr>
        <w:t>报价要求：</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1.</w:t>
      </w:r>
      <w:r>
        <w:rPr>
          <w:rFonts w:hint="eastAsia" w:ascii="仿宋_GB2312" w:eastAsia="仿宋_GB2312"/>
          <w:b w:val="0"/>
          <w:bCs/>
          <w:color w:val="auto"/>
          <w:sz w:val="28"/>
          <w:szCs w:val="28"/>
        </w:rPr>
        <w:t>本项目服务费采用包干制，应包括服务成本、法定税费和企业的利润。由响应人根据采购文件所提供的资料自行测算投标报价；一经中选，报价总价作为</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与采购人签定的合同金额，合同期限内不做调整；</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2.</w:t>
      </w:r>
      <w:r>
        <w:rPr>
          <w:rFonts w:hint="eastAsia" w:ascii="仿宋_GB2312" w:eastAsia="仿宋_GB2312"/>
          <w:b w:val="0"/>
          <w:bCs/>
          <w:color w:val="auto"/>
          <w:sz w:val="28"/>
          <w:szCs w:val="28"/>
        </w:rPr>
        <w:t>响应人应根据本企业的成本自行决定报价，但不得以低于其企业成本的报价投标；</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3.</w:t>
      </w:r>
      <w:r>
        <w:rPr>
          <w:rFonts w:hint="eastAsia" w:ascii="仿宋_GB2312" w:eastAsia="仿宋_GB2312"/>
          <w:b w:val="0"/>
          <w:bCs/>
          <w:color w:val="auto"/>
          <w:sz w:val="28"/>
          <w:szCs w:val="28"/>
        </w:rPr>
        <w:t>响应人的报价不得超过</w:t>
      </w:r>
      <w:r>
        <w:rPr>
          <w:rFonts w:hint="eastAsia" w:ascii="仿宋_GB2312" w:eastAsia="仿宋_GB2312"/>
          <w:b w:val="0"/>
          <w:bCs/>
          <w:color w:val="auto"/>
          <w:sz w:val="28"/>
          <w:szCs w:val="28"/>
          <w:lang w:eastAsia="zh-CN"/>
        </w:rPr>
        <w:t>项目</w:t>
      </w:r>
      <w:r>
        <w:rPr>
          <w:rFonts w:hint="eastAsia" w:ascii="仿宋_GB2312" w:eastAsia="仿宋_GB2312"/>
          <w:b w:val="0"/>
          <w:bCs/>
          <w:color w:val="auto"/>
          <w:sz w:val="28"/>
          <w:szCs w:val="28"/>
        </w:rPr>
        <w:t>预算</w:t>
      </w:r>
      <w:r>
        <w:rPr>
          <w:rFonts w:hint="eastAsia" w:ascii="仿宋_GB2312" w:eastAsia="仿宋_GB2312"/>
          <w:b w:val="0"/>
          <w:bCs/>
          <w:color w:val="auto"/>
          <w:sz w:val="28"/>
          <w:szCs w:val="28"/>
          <w:lang w:eastAsia="zh-CN"/>
        </w:rPr>
        <w:t>金额</w:t>
      </w:r>
      <w:r>
        <w:rPr>
          <w:rFonts w:hint="eastAsia" w:ascii="仿宋_GB2312" w:eastAsia="仿宋_GB2312"/>
          <w:b w:val="0"/>
          <w:bCs/>
          <w:color w:val="auto"/>
          <w:sz w:val="28"/>
          <w:szCs w:val="28"/>
        </w:rPr>
        <w:t>；</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4.</w:t>
      </w:r>
      <w:r>
        <w:rPr>
          <w:rFonts w:hint="eastAsia" w:ascii="仿宋_GB2312" w:eastAsia="仿宋_GB2312"/>
          <w:b w:val="0"/>
          <w:bCs/>
          <w:color w:val="auto"/>
          <w:sz w:val="28"/>
          <w:szCs w:val="28"/>
        </w:rPr>
        <w:t>响应人的报价，应是本项目采购范围和采购文件及合同条款上所列的各项内容中所述的全部，不得以任何理由予以重复，并以响应人最终提出的综合单价或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总价为依据；</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5.</w:t>
      </w:r>
      <w:r>
        <w:rPr>
          <w:rFonts w:hint="eastAsia" w:ascii="仿宋_GB2312" w:eastAsia="仿宋_GB2312"/>
          <w:b w:val="0"/>
          <w:bCs/>
          <w:color w:val="auto"/>
          <w:sz w:val="28"/>
          <w:szCs w:val="28"/>
        </w:rPr>
        <w:t>除非采购人通过修改采购文件予以更正，否则，响应人应毫无例外地按响应文件所列的清单中项目和数量填报综合单价和合价；</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6.</w:t>
      </w:r>
      <w:r>
        <w:rPr>
          <w:rFonts w:hint="eastAsia" w:ascii="仿宋_GB2312" w:eastAsia="仿宋_GB2312"/>
          <w:b w:val="0"/>
          <w:bCs/>
          <w:color w:val="auto"/>
          <w:sz w:val="28"/>
          <w:szCs w:val="28"/>
        </w:rPr>
        <w:t>响应人应先到项目地点踏勘以充分了解项目的位置、情况、道路及任何其它足以影响投标报价的情况，任何因忽视或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误解项目情况而导致的索赔或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服务期限延长申请将不获批准；</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rPr>
      </w:pPr>
      <w:r>
        <w:rPr>
          <w:rFonts w:hint="eastAsia" w:ascii="仿宋_GB2312" w:eastAsia="仿宋_GB2312"/>
          <w:b w:val="0"/>
          <w:bCs/>
          <w:color w:val="auto"/>
          <w:sz w:val="28"/>
          <w:szCs w:val="28"/>
          <w:lang w:val="en-US" w:eastAsia="zh-CN"/>
        </w:rPr>
        <w:t>7.</w:t>
      </w:r>
      <w:r>
        <w:rPr>
          <w:rFonts w:hint="eastAsia" w:ascii="仿宋_GB2312" w:eastAsia="仿宋_GB2312"/>
          <w:b w:val="0"/>
          <w:bCs/>
          <w:color w:val="auto"/>
          <w:sz w:val="28"/>
          <w:szCs w:val="28"/>
        </w:rPr>
        <w:t>响应人不得期望通过索赔等方式获取</w:t>
      </w:r>
      <w:r>
        <w:rPr>
          <w:rFonts w:hint="eastAsia" w:ascii="仿宋_GB2312" w:eastAsia="仿宋_GB2312"/>
          <w:b w:val="0"/>
          <w:bCs/>
          <w:color w:val="auto"/>
          <w:sz w:val="28"/>
          <w:szCs w:val="28"/>
          <w:lang w:eastAsia="zh-CN"/>
        </w:rPr>
        <w:t>报价</w:t>
      </w:r>
      <w:r>
        <w:rPr>
          <w:rFonts w:hint="eastAsia" w:ascii="仿宋_GB2312" w:eastAsia="仿宋_GB2312"/>
          <w:b w:val="0"/>
          <w:bCs/>
          <w:color w:val="auto"/>
          <w:sz w:val="28"/>
          <w:szCs w:val="28"/>
        </w:rPr>
        <w:t>补偿，否则，除可能遭到拒绝外，还可能将被作为不良行为记录在案，并可能影响其以后参加政府采购的项目投标。各响应人在报价时，应充分考虑报价的风险。</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lang w:eastAsia="zh-CN"/>
        </w:rPr>
      </w:pPr>
      <w:r>
        <w:rPr>
          <w:rFonts w:hint="eastAsia" w:ascii="仿宋_GB2312" w:eastAsia="仿宋_GB2312"/>
          <w:b w:val="0"/>
          <w:bCs/>
          <w:color w:val="auto"/>
          <w:sz w:val="28"/>
          <w:szCs w:val="28"/>
          <w:highlight w:val="none"/>
          <w:lang w:eastAsia="zh-CN"/>
        </w:rPr>
        <w:t>（四）</w:t>
      </w:r>
      <w:r>
        <w:rPr>
          <w:rFonts w:hint="eastAsia" w:ascii="仿宋_GB2312" w:eastAsia="仿宋_GB2312"/>
          <w:b w:val="0"/>
          <w:bCs/>
          <w:color w:val="auto"/>
          <w:sz w:val="28"/>
          <w:szCs w:val="28"/>
          <w:highlight w:val="none"/>
        </w:rPr>
        <w:t>付款方式：</w:t>
      </w:r>
      <w:r>
        <w:rPr>
          <w:rFonts w:hint="eastAsia" w:ascii="仿宋_GB2312" w:eastAsia="仿宋_GB2312"/>
          <w:b w:val="0"/>
          <w:bCs/>
          <w:color w:val="auto"/>
          <w:sz w:val="28"/>
          <w:szCs w:val="28"/>
          <w:highlight w:val="none"/>
          <w:lang w:val="en-US" w:eastAsia="zh-CN"/>
        </w:rPr>
        <w:t>按项目完成进度进行</w:t>
      </w:r>
      <w:r>
        <w:rPr>
          <w:rFonts w:hint="eastAsia" w:ascii="仿宋_GB2312" w:eastAsia="仿宋_GB2312"/>
          <w:b w:val="0"/>
          <w:bCs/>
          <w:color w:val="auto"/>
          <w:sz w:val="28"/>
          <w:szCs w:val="28"/>
          <w:highlight w:val="none"/>
          <w:lang w:eastAsia="zh-CN"/>
        </w:rPr>
        <w:t>付款，</w:t>
      </w:r>
      <w:r>
        <w:rPr>
          <w:rFonts w:hint="eastAsia" w:ascii="仿宋_GB2312" w:eastAsia="仿宋_GB2312"/>
          <w:b w:val="0"/>
          <w:bCs/>
          <w:color w:val="auto"/>
          <w:sz w:val="28"/>
          <w:szCs w:val="28"/>
          <w:highlight w:val="none"/>
          <w:lang w:val="en-US" w:eastAsia="zh-CN"/>
        </w:rPr>
        <w:t>合同签订完成付款至40%，项目完成初步验收付款至80%，项目完成最终验收付款至100%。</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rPr>
      </w:pPr>
      <w:r>
        <w:rPr>
          <w:rFonts w:hint="eastAsia" w:ascii="仿宋_GB2312" w:eastAsia="仿宋_GB2312"/>
          <w:b w:val="0"/>
          <w:bCs/>
          <w:color w:val="auto"/>
          <w:sz w:val="28"/>
          <w:szCs w:val="28"/>
          <w:highlight w:val="none"/>
          <w:lang w:eastAsia="zh-CN"/>
        </w:rPr>
        <w:t>（五）验收</w:t>
      </w:r>
      <w:r>
        <w:rPr>
          <w:rFonts w:hint="eastAsia" w:ascii="仿宋_GB2312" w:eastAsia="仿宋_GB2312"/>
          <w:b w:val="0"/>
          <w:bCs/>
          <w:color w:val="auto"/>
          <w:sz w:val="28"/>
          <w:szCs w:val="28"/>
          <w:highlight w:val="none"/>
        </w:rPr>
        <w:t>：</w:t>
      </w:r>
      <w:r>
        <w:rPr>
          <w:rFonts w:hint="eastAsia" w:ascii="仿宋_GB2312" w:eastAsia="仿宋_GB2312"/>
          <w:b w:val="0"/>
          <w:bCs/>
          <w:color w:val="auto"/>
          <w:sz w:val="28"/>
          <w:szCs w:val="28"/>
          <w:highlight w:val="none"/>
          <w:lang w:eastAsia="zh-CN"/>
        </w:rPr>
        <w:t>采购人</w:t>
      </w:r>
      <w:r>
        <w:rPr>
          <w:rFonts w:hint="eastAsia" w:ascii="仿宋_GB2312" w:eastAsia="仿宋_GB2312"/>
          <w:b w:val="0"/>
          <w:bCs/>
          <w:color w:val="auto"/>
          <w:sz w:val="28"/>
          <w:szCs w:val="28"/>
          <w:highlight w:val="none"/>
        </w:rPr>
        <w:t>在项目服务期到期后，将按照合同约定的服务内容对</w:t>
      </w:r>
      <w:r>
        <w:rPr>
          <w:rFonts w:hint="eastAsia" w:ascii="仿宋_GB2312" w:eastAsia="仿宋_GB2312"/>
          <w:b w:val="0"/>
          <w:bCs/>
          <w:color w:val="auto"/>
          <w:sz w:val="28"/>
          <w:szCs w:val="28"/>
          <w:highlight w:val="none"/>
          <w:lang w:eastAsia="zh-CN"/>
        </w:rPr>
        <w:t>供应商</w:t>
      </w:r>
      <w:r>
        <w:rPr>
          <w:rFonts w:hint="eastAsia" w:ascii="仿宋_GB2312" w:eastAsia="仿宋_GB2312"/>
          <w:b w:val="0"/>
          <w:bCs/>
          <w:color w:val="auto"/>
          <w:sz w:val="28"/>
          <w:szCs w:val="28"/>
          <w:highlight w:val="none"/>
        </w:rPr>
        <w:t>的服务进行逐项验收。项目验收后，双方共同签署验收报告，验收报告内容包括每一项技术、服务、安全标准的验收情况及项目总体评价，验收报告将作为服务费尾款支付的重要依据。</w:t>
      </w:r>
    </w:p>
    <w:p>
      <w:pPr>
        <w:keepNext w:val="0"/>
        <w:keepLines w:val="0"/>
        <w:pageBreakBefore w:val="0"/>
        <w:numPr>
          <w:ilvl w:val="0"/>
          <w:numId w:val="0"/>
        </w:numPr>
        <w:kinsoku/>
        <w:wordWrap/>
        <w:overflowPunct/>
        <w:topLinePunct w:val="0"/>
        <w:bidi w:val="0"/>
        <w:snapToGrid w:val="0"/>
        <w:spacing w:line="579" w:lineRule="exact"/>
        <w:ind w:firstLine="560" w:firstLineChars="200"/>
        <w:textAlignment w:val="auto"/>
        <w:rPr>
          <w:rFonts w:hint="eastAsia" w:ascii="仿宋_GB2312" w:eastAsia="仿宋_GB2312"/>
          <w:b w:val="0"/>
          <w:bCs/>
          <w:color w:val="auto"/>
          <w:sz w:val="28"/>
          <w:szCs w:val="28"/>
          <w:highlight w:val="none"/>
        </w:rPr>
      </w:pPr>
      <w:r>
        <w:rPr>
          <w:rFonts w:hint="eastAsia" w:ascii="仿宋_GB2312" w:eastAsia="仿宋_GB2312"/>
          <w:b w:val="0"/>
          <w:bCs/>
          <w:color w:val="auto"/>
          <w:sz w:val="28"/>
          <w:szCs w:val="28"/>
          <w:highlight w:val="none"/>
          <w:lang w:eastAsia="zh-CN"/>
        </w:rPr>
        <w:t>（六）</w:t>
      </w:r>
      <w:r>
        <w:rPr>
          <w:rFonts w:hint="eastAsia" w:ascii="仿宋_GB2312" w:eastAsia="仿宋_GB2312"/>
          <w:b w:val="0"/>
          <w:bCs/>
          <w:color w:val="auto"/>
          <w:sz w:val="28"/>
          <w:szCs w:val="28"/>
          <w:highlight w:val="none"/>
        </w:rPr>
        <w:t>违约责任：</w:t>
      </w:r>
      <w:r>
        <w:rPr>
          <w:rFonts w:hint="eastAsia" w:ascii="仿宋_GB2312" w:eastAsia="仿宋_GB2312"/>
          <w:b w:val="0"/>
          <w:bCs/>
          <w:color w:val="auto"/>
          <w:sz w:val="28"/>
          <w:szCs w:val="28"/>
          <w:highlight w:val="none"/>
          <w:lang w:eastAsia="zh-CN"/>
        </w:rPr>
        <w:t>响应人负责对项目检查资料及相关价差文件出现的遗漏或错误进行修改或补充。由于响应人自身的原因，导致合同规定的服务时间延长的，服务期延长期间的所有费用，由响应人自行承担。具体以合同内容为准。</w:t>
      </w:r>
    </w:p>
    <w:p>
      <w:pPr>
        <w:numPr>
          <w:ilvl w:val="0"/>
          <w:numId w:val="0"/>
        </w:numPr>
        <w:snapToGrid w:val="0"/>
        <w:spacing w:line="579" w:lineRule="exact"/>
        <w:ind w:firstLine="560" w:firstLineChars="200"/>
        <w:rPr>
          <w:rFonts w:hint="default"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eastAsia="zh-CN"/>
        </w:rPr>
        <w:t>（七）</w:t>
      </w:r>
      <w:r>
        <w:rPr>
          <w:rFonts w:hint="eastAsia" w:ascii="仿宋_GB2312" w:eastAsia="仿宋_GB2312"/>
          <w:b w:val="0"/>
          <w:bCs/>
          <w:color w:val="auto"/>
          <w:sz w:val="28"/>
          <w:szCs w:val="28"/>
          <w:highlight w:val="none"/>
          <w:lang w:val="en-US" w:eastAsia="zh-CN"/>
        </w:rPr>
        <w:t>系统后续如有升级改造需求，将优先考虑此次合作供应商。</w:t>
      </w:r>
    </w:p>
    <w:p>
      <w:pPr>
        <w:numPr>
          <w:ilvl w:val="0"/>
          <w:numId w:val="0"/>
        </w:numPr>
        <w:snapToGrid w:val="0"/>
        <w:spacing w:line="579" w:lineRule="exact"/>
        <w:ind w:firstLine="560" w:firstLineChars="200"/>
        <w:rPr>
          <w:rFonts w:hint="eastAsia" w:ascii="仿宋_GB2312" w:eastAsia="仿宋_GB2312"/>
          <w:b/>
          <w:bCs w:val="0"/>
          <w:color w:val="auto"/>
          <w:sz w:val="28"/>
          <w:szCs w:val="28"/>
          <w:highlight w:val="none"/>
        </w:rPr>
      </w:pPr>
      <w:r>
        <w:rPr>
          <w:rFonts w:hint="eastAsia" w:ascii="仿宋_GB2312" w:eastAsia="仿宋_GB2312"/>
          <w:b w:val="0"/>
          <w:bCs/>
          <w:color w:val="auto"/>
          <w:sz w:val="28"/>
          <w:szCs w:val="28"/>
          <w:highlight w:val="none"/>
          <w:lang w:eastAsia="zh-CN"/>
        </w:rPr>
        <w:t>（</w:t>
      </w:r>
      <w:r>
        <w:rPr>
          <w:rFonts w:hint="eastAsia" w:ascii="仿宋_GB2312" w:eastAsia="仿宋_GB2312"/>
          <w:b w:val="0"/>
          <w:bCs/>
          <w:color w:val="auto"/>
          <w:sz w:val="28"/>
          <w:szCs w:val="28"/>
          <w:highlight w:val="none"/>
          <w:lang w:val="en-US" w:eastAsia="zh-CN"/>
        </w:rPr>
        <w:t>八</w:t>
      </w:r>
      <w:r>
        <w:rPr>
          <w:rFonts w:hint="eastAsia" w:ascii="仿宋_GB2312" w:eastAsia="仿宋_GB2312"/>
          <w:b w:val="0"/>
          <w:bCs/>
          <w:color w:val="auto"/>
          <w:sz w:val="28"/>
          <w:szCs w:val="28"/>
          <w:highlight w:val="none"/>
          <w:lang w:eastAsia="zh-CN"/>
        </w:rPr>
        <w:t>）供应商报价还应提供以下材料，加盖公章：</w:t>
      </w:r>
    </w:p>
    <w:p>
      <w:pPr>
        <w:numPr>
          <w:ilvl w:val="0"/>
          <w:numId w:val="0"/>
        </w:numPr>
        <w:snapToGrid w:val="0"/>
        <w:spacing w:line="579" w:lineRule="exact"/>
        <w:ind w:firstLine="638" w:firstLineChars="228"/>
        <w:rPr>
          <w:rFonts w:hint="eastAsia" w:ascii="仿宋_GB2312" w:eastAsia="仿宋_GB2312"/>
          <w:b w:val="0"/>
          <w:bCs/>
          <w:color w:val="auto"/>
          <w:sz w:val="28"/>
          <w:szCs w:val="28"/>
          <w:highlight w:val="none"/>
          <w:lang w:eastAsia="zh-CN"/>
        </w:rPr>
      </w:pPr>
      <w:r>
        <w:rPr>
          <w:rFonts w:hint="eastAsia" w:ascii="仿宋_GB2312" w:eastAsia="仿宋_GB2312"/>
          <w:b w:val="0"/>
          <w:bCs/>
          <w:color w:val="auto"/>
          <w:sz w:val="28"/>
          <w:szCs w:val="28"/>
          <w:highlight w:val="none"/>
          <w:lang w:eastAsia="zh-CN"/>
        </w:rPr>
        <w:t>1.响应函</w:t>
      </w:r>
    </w:p>
    <w:p>
      <w:pPr>
        <w:numPr>
          <w:ilvl w:val="0"/>
          <w:numId w:val="0"/>
        </w:numPr>
        <w:snapToGrid w:val="0"/>
        <w:spacing w:line="579" w:lineRule="exact"/>
        <w:ind w:firstLine="638" w:firstLineChars="228"/>
        <w:rPr>
          <w:rFonts w:hint="eastAsia" w:ascii="仿宋_GB2312" w:eastAsia="仿宋_GB2312"/>
          <w:b w:val="0"/>
          <w:bCs/>
          <w:color w:val="auto"/>
          <w:sz w:val="28"/>
          <w:szCs w:val="28"/>
          <w:highlight w:val="none"/>
          <w:lang w:val="en-US" w:eastAsia="zh-CN"/>
        </w:rPr>
      </w:pPr>
      <w:r>
        <w:rPr>
          <w:rFonts w:hint="eastAsia" w:ascii="仿宋_GB2312" w:eastAsia="仿宋_GB2312"/>
          <w:b w:val="0"/>
          <w:bCs/>
          <w:color w:val="auto"/>
          <w:sz w:val="28"/>
          <w:szCs w:val="28"/>
          <w:highlight w:val="none"/>
          <w:lang w:val="en-US" w:eastAsia="zh-CN"/>
        </w:rPr>
        <w:t>2.法人证明及授权委托书</w:t>
      </w:r>
    </w:p>
    <w:p>
      <w:pPr>
        <w:numPr>
          <w:ilvl w:val="0"/>
          <w:numId w:val="0"/>
        </w:numPr>
        <w:snapToGrid w:val="0"/>
        <w:spacing w:line="579" w:lineRule="exact"/>
        <w:ind w:firstLine="638" w:firstLineChars="228"/>
        <w:rPr>
          <w:rFonts w:hint="eastAsia" w:ascii="仿宋_GB2312" w:eastAsia="仿宋_GB2312"/>
          <w:b w:val="0"/>
          <w:bCs/>
          <w:color w:val="auto"/>
          <w:sz w:val="28"/>
          <w:szCs w:val="28"/>
          <w:lang w:val="en-US" w:eastAsia="zh-CN"/>
        </w:rPr>
      </w:pPr>
      <w:r>
        <w:rPr>
          <w:rFonts w:hint="eastAsia" w:ascii="仿宋_GB2312" w:eastAsia="仿宋_GB2312"/>
          <w:b w:val="0"/>
          <w:bCs/>
          <w:color w:val="auto"/>
          <w:sz w:val="28"/>
          <w:szCs w:val="28"/>
          <w:lang w:val="en-US" w:eastAsia="zh-CN"/>
        </w:rPr>
        <w:t>3.分项报价清单表</w:t>
      </w:r>
    </w:p>
    <w:p>
      <w:pPr>
        <w:numPr>
          <w:ilvl w:val="0"/>
          <w:numId w:val="0"/>
        </w:numPr>
        <w:snapToGrid w:val="0"/>
        <w:spacing w:line="579" w:lineRule="exact"/>
        <w:ind w:firstLine="638" w:firstLineChars="228"/>
        <w:rPr>
          <w:rFonts w:hint="eastAsia" w:ascii="仿宋_GB2312" w:eastAsia="仿宋_GB2312"/>
          <w:b w:val="0"/>
          <w:bCs/>
          <w:color w:val="auto"/>
          <w:sz w:val="28"/>
          <w:szCs w:val="28"/>
          <w:lang w:val="en-US" w:eastAsia="zh-CN"/>
        </w:rPr>
      </w:pPr>
      <w:r>
        <w:rPr>
          <w:rFonts w:hint="eastAsia" w:ascii="仿宋_GB2312" w:eastAsia="仿宋_GB2312"/>
          <w:b w:val="0"/>
          <w:bCs/>
          <w:color w:val="auto"/>
          <w:sz w:val="28"/>
          <w:szCs w:val="28"/>
          <w:lang w:val="en-US" w:eastAsia="zh-CN"/>
        </w:rPr>
        <w:t>4.供应商情况一览表</w:t>
      </w:r>
    </w:p>
    <w:p>
      <w:pPr>
        <w:numPr>
          <w:ilvl w:val="0"/>
          <w:numId w:val="0"/>
        </w:numPr>
        <w:snapToGrid w:val="0"/>
        <w:spacing w:line="579" w:lineRule="exact"/>
        <w:ind w:firstLine="638" w:firstLineChars="228"/>
        <w:rPr>
          <w:rFonts w:hint="eastAsia" w:ascii="仿宋_GB2312" w:eastAsia="仿宋_GB2312"/>
          <w:b w:val="0"/>
          <w:bCs/>
          <w:color w:val="auto"/>
          <w:sz w:val="28"/>
          <w:szCs w:val="28"/>
          <w:lang w:val="en-US" w:eastAsia="zh-CN"/>
        </w:rPr>
      </w:pPr>
      <w:r>
        <w:rPr>
          <w:rFonts w:hint="eastAsia" w:ascii="仿宋_GB2312" w:eastAsia="仿宋_GB2312"/>
          <w:b w:val="0"/>
          <w:bCs/>
          <w:color w:val="auto"/>
          <w:sz w:val="28"/>
          <w:szCs w:val="28"/>
          <w:lang w:val="en-US" w:eastAsia="zh-CN"/>
        </w:rPr>
        <w:t>5.供应商业绩情况</w:t>
      </w:r>
    </w:p>
    <w:p>
      <w:pPr>
        <w:numPr>
          <w:ilvl w:val="0"/>
          <w:numId w:val="0"/>
        </w:numPr>
        <w:snapToGrid w:val="0"/>
        <w:spacing w:line="579" w:lineRule="exact"/>
        <w:ind w:firstLine="638" w:firstLineChars="228"/>
        <w:rPr>
          <w:rFonts w:hint="eastAsia" w:ascii="仿宋_GB2312" w:eastAsia="仿宋_GB2312"/>
          <w:b w:val="0"/>
          <w:bCs/>
          <w:color w:val="auto"/>
          <w:sz w:val="28"/>
          <w:szCs w:val="28"/>
          <w:lang w:val="en-US" w:eastAsia="zh-CN"/>
        </w:rPr>
      </w:pPr>
      <w:r>
        <w:rPr>
          <w:rFonts w:hint="eastAsia" w:ascii="仿宋_GB2312" w:eastAsia="仿宋_GB2312"/>
          <w:b w:val="0"/>
          <w:bCs/>
          <w:color w:val="auto"/>
          <w:sz w:val="28"/>
          <w:szCs w:val="28"/>
          <w:lang w:val="en-US" w:eastAsia="zh-CN"/>
        </w:rPr>
        <w:t>6.拟投入本项目的人员情况</w:t>
      </w:r>
    </w:p>
    <w:p>
      <w:pPr>
        <w:numPr>
          <w:ilvl w:val="0"/>
          <w:numId w:val="0"/>
        </w:numPr>
        <w:snapToGrid w:val="0"/>
        <w:spacing w:line="579" w:lineRule="exact"/>
        <w:ind w:firstLine="638" w:firstLineChars="228"/>
      </w:pPr>
      <w:r>
        <w:rPr>
          <w:rFonts w:hint="eastAsia" w:ascii="仿宋_GB2312" w:eastAsia="仿宋_GB2312"/>
          <w:b w:val="0"/>
          <w:bCs/>
          <w:color w:val="auto"/>
          <w:sz w:val="28"/>
          <w:szCs w:val="28"/>
          <w:lang w:val="en-US" w:eastAsia="zh-CN"/>
        </w:rPr>
        <w:t>7.工作初步方案</w:t>
      </w:r>
    </w:p>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pPr>
        <w:spacing w:beforeLines="0" w:afterLines="0" w:line="579" w:lineRule="exact"/>
        <w:rPr>
          <w:color w:val="auto"/>
        </w:rPr>
      </w:pPr>
    </w:p>
    <w:p>
      <w:bookmarkStart w:id="0" w:name="_GoBack"/>
      <w:bookmarkEnd w:id="0"/>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743E8"/>
    <w:rsid w:val="07E74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2025-07-30T09:58:00Z</dcterms:created>
  <dc:creator>王烁豪</dc:creator>
  <cp:lastModifiedBy>王烁豪</cp:lastModifiedBy>
  <dcterms:modified xsi:type="dcterms:W3CDTF">2025-07-30T09:59:05Z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7D17C43FD3AD4D1E9701B88175EA0130</vt:lpwstr>
  </property>
</Properties>
</file>