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400" w:lineRule="exact"/>
        <w:ind w:firstLine="0" w:firstLineChars="0"/>
        <w:jc w:val="center"/>
        <w:outlineLvl w:val="1"/>
        <w:rPr>
          <w:rFonts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采购项目需求方案</w:t>
      </w:r>
    </w:p>
    <w:p>
      <w:pPr>
        <w:widowControl w:val="0"/>
        <w:spacing w:line="240" w:lineRule="auto"/>
        <w:ind w:firstLine="420" w:firstLineChars="200"/>
        <w:jc w:val="both"/>
        <w:rPr>
          <w:rFonts w:asciiTheme="minorHAnsi" w:hAnsiTheme="minorHAnsi" w:eastAsiaTheme="minorEastAsia" w:cstheme="minorBidi"/>
          <w:kern w:val="2"/>
          <w:sz w:val="21"/>
          <w:szCs w:val="24"/>
          <w:lang w:val="en-US" w:eastAsia="zh-CN" w:bidi="ar-SA"/>
        </w:rPr>
      </w:pPr>
    </w:p>
    <w:tbl>
      <w:tblPr>
        <w:tblStyle w:val="6"/>
        <w:tblW w:w="5000" w:type="pct"/>
        <w:tblInd w:w="0" w:type="dxa"/>
        <w:tblLayout w:type="autofit"/>
        <w:tblCellMar>
          <w:top w:w="0" w:type="dxa"/>
          <w:left w:w="108" w:type="dxa"/>
          <w:bottom w:w="0" w:type="dxa"/>
          <w:right w:w="108" w:type="dxa"/>
        </w:tblCellMar>
      </w:tblPr>
      <w:tblGrid>
        <w:gridCol w:w="964"/>
        <w:gridCol w:w="2794"/>
        <w:gridCol w:w="1939"/>
        <w:gridCol w:w="1664"/>
        <w:gridCol w:w="2039"/>
      </w:tblGrid>
      <w:tr>
        <w:tblPrEx>
          <w:tblCellMar>
            <w:top w:w="0" w:type="dxa"/>
            <w:left w:w="108" w:type="dxa"/>
            <w:bottom w:w="0" w:type="dxa"/>
            <w:right w:w="108" w:type="dxa"/>
          </w:tblCellMar>
        </w:tblPrEx>
        <w:trPr>
          <w:trHeight w:val="667" w:hRule="exact"/>
        </w:trPr>
        <w:tc>
          <w:tcPr>
            <w:tcW w:w="639"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项目名称</w:t>
            </w:r>
          </w:p>
        </w:tc>
        <w:tc>
          <w:tcPr>
            <w:tcW w:w="2283" w:type="pct"/>
            <w:gridSpan w:val="2"/>
            <w:tcBorders>
              <w:top w:val="single" w:color="auto" w:sz="4" w:space="0"/>
              <w:left w:val="nil"/>
              <w:bottom w:val="single" w:color="auto" w:sz="4" w:space="0"/>
              <w:right w:val="single" w:color="000000"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kern w:val="0"/>
                <w:sz w:val="24"/>
              </w:rPr>
              <w:t>福保街道2025年5G智能巡检四足机器人服务采购项目　</w:t>
            </w:r>
          </w:p>
        </w:tc>
        <w:tc>
          <w:tcPr>
            <w:tcW w:w="931" w:type="pct"/>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预算金额</w:t>
            </w:r>
          </w:p>
        </w:tc>
        <w:tc>
          <w:tcPr>
            <w:tcW w:w="1147" w:type="pct"/>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auto"/>
              <w:ind w:firstLine="0" w:firstLineChars="0"/>
              <w:jc w:val="left"/>
              <w:rPr>
                <w:rFonts w:hint="default"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38万</w:t>
            </w:r>
          </w:p>
        </w:tc>
      </w:tr>
      <w:tr>
        <w:tblPrEx>
          <w:tblCellMar>
            <w:top w:w="0" w:type="dxa"/>
            <w:left w:w="108" w:type="dxa"/>
            <w:bottom w:w="0" w:type="dxa"/>
            <w:right w:w="108" w:type="dxa"/>
          </w:tblCellMar>
        </w:tblPrEx>
        <w:trPr>
          <w:trHeight w:val="699" w:hRule="exact"/>
        </w:trPr>
        <w:tc>
          <w:tcPr>
            <w:tcW w:w="639" w:type="pc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采购部门</w:t>
            </w:r>
          </w:p>
        </w:tc>
        <w:tc>
          <w:tcPr>
            <w:tcW w:w="2283" w:type="pct"/>
            <w:gridSpan w:val="2"/>
            <w:tcBorders>
              <w:top w:val="single" w:color="auto" w:sz="4" w:space="0"/>
              <w:left w:val="nil"/>
              <w:bottom w:val="single" w:color="auto" w:sz="4" w:space="0"/>
              <w:right w:val="single" w:color="000000"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kern w:val="0"/>
                <w:sz w:val="24"/>
                <w:lang w:val="en-US" w:eastAsia="zh-CN"/>
              </w:rPr>
              <w:t>党政办（智慧办）</w:t>
            </w:r>
            <w:r>
              <w:rPr>
                <w:rFonts w:hint="eastAsia" w:ascii="仿宋_GB2312" w:hAnsi="仿宋_GB2312" w:eastAsia="仿宋_GB2312" w:cs="仿宋_GB2312"/>
                <w:kern w:val="0"/>
                <w:sz w:val="24"/>
              </w:rPr>
              <w:t>　</w:t>
            </w:r>
          </w:p>
        </w:tc>
        <w:tc>
          <w:tcPr>
            <w:tcW w:w="931" w:type="pct"/>
            <w:tcBorders>
              <w:top w:val="nil"/>
              <w:left w:val="nil"/>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项目经办人</w:t>
            </w:r>
          </w:p>
        </w:tc>
        <w:tc>
          <w:tcPr>
            <w:tcW w:w="1147" w:type="pct"/>
            <w:tcBorders>
              <w:top w:val="nil"/>
              <w:left w:val="nil"/>
              <w:bottom w:val="single" w:color="auto" w:sz="4" w:space="0"/>
              <w:right w:val="single" w:color="auto" w:sz="4" w:space="0"/>
            </w:tcBorders>
            <w:shd w:val="clear" w:color="auto" w:fill="auto"/>
            <w:noWrap/>
            <w:vAlign w:val="center"/>
          </w:tcPr>
          <w:p>
            <w:pPr>
              <w:widowControl/>
              <w:spacing w:line="240" w:lineRule="auto"/>
              <w:ind w:firstLine="0" w:firstLineChars="0"/>
              <w:jc w:val="left"/>
              <w:rPr>
                <w:rFonts w:hint="eastAsia"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宋凯</w:t>
            </w:r>
          </w:p>
        </w:tc>
      </w:tr>
      <w:tr>
        <w:tblPrEx>
          <w:tblCellMar>
            <w:top w:w="0" w:type="dxa"/>
            <w:left w:w="108" w:type="dxa"/>
            <w:bottom w:w="0" w:type="dxa"/>
            <w:right w:w="108" w:type="dxa"/>
          </w:tblCellMar>
        </w:tblPrEx>
        <w:trPr>
          <w:trHeight w:val="240" w:hRule="atLeast"/>
        </w:trPr>
        <w:tc>
          <w:tcPr>
            <w:tcW w:w="639" w:type="pc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采购类型</w:t>
            </w:r>
          </w:p>
        </w:tc>
        <w:tc>
          <w:tcPr>
            <w:tcW w:w="1352" w:type="pct"/>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kern w:val="0"/>
                <w:sz w:val="24"/>
              </w:rPr>
            </w:pPr>
            <w:r>
              <w:rPr>
                <w:rFonts w:hint="eastAsia" w:ascii="仿宋_GB2312" w:hAnsi="仿宋_GB2312" w:eastAsia="仿宋_GB2312" w:cs="仿宋_GB2312"/>
                <w:b/>
                <w:bCs/>
                <w:kern w:val="0"/>
                <w:sz w:val="24"/>
              </w:rPr>
              <w:sym w:font="Wingdings 2" w:char="0052"/>
            </w:r>
            <w:r>
              <w:rPr>
                <w:rFonts w:hint="eastAsia" w:ascii="仿宋_GB2312" w:hAnsi="仿宋_GB2312" w:eastAsia="仿宋_GB2312" w:cs="仿宋_GB2312"/>
                <w:b/>
                <w:bCs/>
                <w:kern w:val="0"/>
                <w:sz w:val="24"/>
              </w:rPr>
              <w:t>服务类</w:t>
            </w:r>
            <w:r>
              <w:rPr>
                <w:rFonts w:hint="eastAsia" w:ascii="仿宋_GB2312" w:hAnsi="仿宋_GB2312" w:eastAsia="仿宋_GB2312" w:cs="仿宋_GB2312"/>
                <w:kern w:val="0"/>
                <w:sz w:val="24"/>
              </w:rPr>
              <w:t>　</w:t>
            </w:r>
          </w:p>
          <w:p>
            <w:pPr>
              <w:widowControl/>
              <w:spacing w:line="240" w:lineRule="auto"/>
              <w:ind w:firstLine="0" w:firstLineChars="0"/>
              <w:jc w:val="center"/>
              <w:rPr>
                <w:rFonts w:ascii="仿宋_GB2312" w:hAnsi="仿宋_GB2312" w:eastAsia="仿宋_GB2312" w:cs="仿宋_GB2312"/>
                <w:kern w:val="0"/>
                <w:sz w:val="24"/>
              </w:rPr>
            </w:pPr>
            <w:r>
              <w:rPr>
                <w:rFonts w:hint="eastAsia" w:ascii="仿宋_GB2312" w:hAnsi="仿宋_GB2312" w:eastAsia="仿宋_GB2312" w:cs="仿宋_GB2312"/>
                <w:b/>
                <w:bCs/>
                <w:kern w:val="0"/>
                <w:sz w:val="24"/>
              </w:rPr>
              <w:t>□货物类</w:t>
            </w:r>
            <w:r>
              <w:rPr>
                <w:rFonts w:hint="eastAsia" w:ascii="仿宋_GB2312" w:hAnsi="仿宋_GB2312" w:eastAsia="仿宋_GB2312" w:cs="仿宋_GB2312"/>
                <w:kern w:val="0"/>
                <w:sz w:val="24"/>
              </w:rPr>
              <w:t>　</w:t>
            </w:r>
          </w:p>
          <w:p>
            <w:pPr>
              <w:widowControl/>
              <w:spacing w:line="240" w:lineRule="auto"/>
              <w:ind w:firstLine="0" w:firstLineChars="0"/>
              <w:jc w:val="center"/>
              <w:rPr>
                <w:rFonts w:ascii="仿宋_GB2312" w:hAnsi="仿宋_GB2312" w:eastAsia="仿宋_GB2312" w:cs="仿宋_GB2312"/>
                <w:kern w:val="0"/>
                <w:sz w:val="24"/>
              </w:rPr>
            </w:pPr>
            <w:r>
              <w:rPr>
                <w:rFonts w:hint="eastAsia" w:ascii="仿宋_GB2312" w:hAnsi="仿宋_GB2312" w:eastAsia="仿宋_GB2312" w:cs="仿宋_GB2312"/>
                <w:b/>
                <w:bCs/>
                <w:kern w:val="0"/>
                <w:sz w:val="24"/>
              </w:rPr>
              <w:t>□工程类</w:t>
            </w:r>
          </w:p>
        </w:tc>
        <w:tc>
          <w:tcPr>
            <w:tcW w:w="931" w:type="pct"/>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采购方式</w:t>
            </w:r>
          </w:p>
        </w:tc>
        <w:tc>
          <w:tcPr>
            <w:tcW w:w="2078" w:type="pct"/>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left"/>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□直接确定供应商（3万元以下）</w:t>
            </w:r>
            <w:r>
              <w:rPr>
                <w:rFonts w:hint="eastAsia" w:ascii="仿宋_GB2312" w:hAnsi="仿宋_GB2312" w:eastAsia="仿宋_GB2312" w:cs="仿宋_GB2312"/>
                <w:b/>
                <w:bCs/>
                <w:kern w:val="0"/>
                <w:sz w:val="24"/>
              </w:rPr>
              <w:sym w:font="Wingdings 2" w:char="00A3"/>
            </w:r>
            <w:r>
              <w:rPr>
                <w:rFonts w:hint="eastAsia" w:ascii="仿宋_GB2312" w:hAnsi="仿宋_GB2312" w:eastAsia="仿宋_GB2312" w:cs="仿宋_GB2312"/>
                <w:b/>
                <w:bCs/>
                <w:kern w:val="0"/>
                <w:sz w:val="24"/>
              </w:rPr>
              <w:t>询价</w:t>
            </w:r>
          </w:p>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b/>
                <w:bCs/>
                <w:kern w:val="0"/>
                <w:sz w:val="24"/>
              </w:rPr>
              <w:t xml:space="preserve">□直接确定供应商（特殊）   </w:t>
            </w:r>
            <w:r>
              <w:rPr>
                <w:rFonts w:hint="eastAsia" w:ascii="仿宋_GB2312" w:hAnsi="仿宋_GB2312" w:eastAsia="仿宋_GB2312" w:cs="仿宋_GB2312"/>
                <w:b/>
                <w:bCs/>
                <w:kern w:val="0"/>
                <w:sz w:val="24"/>
              </w:rPr>
              <w:sym w:font="Wingdings 2" w:char="0052"/>
            </w:r>
            <w:r>
              <w:rPr>
                <w:rFonts w:hint="eastAsia" w:ascii="仿宋_GB2312" w:hAnsi="仿宋_GB2312" w:eastAsia="仿宋_GB2312" w:cs="仿宋_GB2312"/>
                <w:b/>
                <w:bCs/>
                <w:kern w:val="0"/>
                <w:sz w:val="24"/>
              </w:rPr>
              <w:t>比价谈判</w:t>
            </w:r>
          </w:p>
        </w:tc>
      </w:tr>
      <w:tr>
        <w:tblPrEx>
          <w:tblCellMar>
            <w:top w:w="0" w:type="dxa"/>
            <w:left w:w="108" w:type="dxa"/>
            <w:bottom w:w="0" w:type="dxa"/>
            <w:right w:w="108" w:type="dxa"/>
          </w:tblCellMar>
        </w:tblPrEx>
        <w:trPr>
          <w:trHeight w:val="2972" w:hRule="atLeast"/>
        </w:trPr>
        <w:tc>
          <w:tcPr>
            <w:tcW w:w="639" w:type="pc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项目背景</w:t>
            </w:r>
          </w:p>
        </w:tc>
        <w:tc>
          <w:tcPr>
            <w:tcW w:w="4361" w:type="pct"/>
            <w:gridSpan w:val="4"/>
            <w:tcBorders>
              <w:top w:val="single" w:color="auto" w:sz="4" w:space="0"/>
              <w:left w:val="nil"/>
              <w:bottom w:val="single" w:color="auto" w:sz="4" w:space="0"/>
              <w:right w:val="single" w:color="auto" w:sz="4" w:space="0"/>
            </w:tcBorders>
          </w:tcPr>
          <w:p>
            <w:pPr>
              <w:widowControl/>
              <w:spacing w:line="240" w:lineRule="auto"/>
              <w:jc w:val="left"/>
              <w:rPr>
                <w:rFonts w:hint="eastAsia" w:ascii="仿宋_GB2312" w:hAnsi="仿宋_GB2312" w:eastAsia="仿宋_GB2312" w:cs="仿宋_GB2312"/>
                <w:kern w:val="0"/>
                <w:sz w:val="24"/>
                <w:lang w:eastAsia="zh-CN"/>
              </w:rPr>
            </w:pPr>
            <w:r>
              <w:rPr>
                <w:rFonts w:hint="eastAsia" w:ascii="仿宋_GB2312" w:hAnsi="仿宋_GB2312" w:eastAsia="仿宋_GB2312" w:cs="仿宋_GB2312"/>
                <w:kern w:val="0"/>
                <w:sz w:val="24"/>
              </w:rPr>
              <w:t>为深入贯彻落实《深圳市加快推进人工智能终端产业发展行动计划（2025—2026 年）》精神，根据《福田区打造人工智能先锋城市核心区工作方案（2024-2026年）》</w:t>
            </w:r>
            <w:r>
              <w:rPr>
                <w:rFonts w:hint="eastAsia" w:ascii="仿宋_GB2312" w:hAnsi="仿宋_GB2312" w:eastAsia="仿宋_GB2312" w:cs="仿宋_GB2312"/>
                <w:kern w:val="0"/>
                <w:sz w:val="24"/>
                <w:lang w:eastAsia="zh-CN"/>
              </w:rPr>
              <w:t>，拟在河套福保园区打造全域全时人工智能应用示范区。</w:t>
            </w:r>
            <w:r>
              <w:rPr>
                <w:rFonts w:hint="eastAsia" w:ascii="仿宋_GB2312" w:hAnsi="仿宋_GB2312" w:eastAsia="仿宋_GB2312" w:cs="仿宋_GB2312"/>
                <w:kern w:val="0"/>
                <w:sz w:val="24"/>
              </w:rPr>
              <w:t>为推动人工智能技术在基层治理领域的创新应用，提升城市管理精细化水平，探索多机协同、人机共治的园区管理新模式</w:t>
            </w:r>
            <w:r>
              <w:rPr>
                <w:rFonts w:hint="eastAsia" w:ascii="仿宋_GB2312" w:hAnsi="仿宋_GB2312" w:eastAsia="仿宋_GB2312" w:cs="仿宋_GB2312"/>
                <w:kern w:val="0"/>
                <w:sz w:val="24"/>
                <w:lang w:eastAsia="zh-CN"/>
              </w:rPr>
              <w:t>，</w:t>
            </w:r>
            <w:r>
              <w:rPr>
                <w:rFonts w:hint="eastAsia" w:ascii="仿宋_GB2312" w:hAnsi="仿宋_GB2312" w:eastAsia="仿宋_GB2312" w:cs="仿宋_GB2312"/>
                <w:kern w:val="0"/>
                <w:sz w:val="24"/>
              </w:rPr>
              <w:t>拟在河套中心公园区域试点部署一台智能巡检四足机器人，四足机器人搭载5G摄像头及边缘计算终端，集成视觉目标检测、大语言模型等前沿技术，可实现24小时全天候自动化巡查。为推动人工智能技术在基层治理领域的创新应用，提升城市管理精细化水平，探索多机协同、人机共治的园区管理新模式</w:t>
            </w:r>
            <w:r>
              <w:rPr>
                <w:rFonts w:hint="eastAsia" w:ascii="仿宋_GB2312" w:hAnsi="仿宋_GB2312" w:eastAsia="仿宋_GB2312" w:cs="仿宋_GB2312"/>
                <w:kern w:val="0"/>
                <w:sz w:val="24"/>
                <w:lang w:eastAsia="zh-CN"/>
              </w:rPr>
              <w:t>。</w:t>
            </w:r>
          </w:p>
        </w:tc>
      </w:tr>
      <w:tr>
        <w:tblPrEx>
          <w:tblCellMar>
            <w:top w:w="0" w:type="dxa"/>
            <w:left w:w="108" w:type="dxa"/>
            <w:bottom w:w="0" w:type="dxa"/>
            <w:right w:w="108" w:type="dxa"/>
          </w:tblCellMar>
        </w:tblPrEx>
        <w:trPr>
          <w:trHeight w:val="3225" w:hRule="atLeast"/>
        </w:trPr>
        <w:tc>
          <w:tcPr>
            <w:tcW w:w="639" w:type="pct"/>
            <w:vMerge w:val="restar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项目需求</w:t>
            </w:r>
          </w:p>
        </w:tc>
        <w:tc>
          <w:tcPr>
            <w:tcW w:w="4361" w:type="pct"/>
            <w:gridSpan w:val="4"/>
            <w:tcBorders>
              <w:top w:val="single" w:color="auto" w:sz="4" w:space="0"/>
              <w:left w:val="nil"/>
              <w:bottom w:val="single" w:color="auto" w:sz="4" w:space="0"/>
              <w:right w:val="single" w:color="auto" w:sz="4" w:space="0"/>
            </w:tcBorders>
          </w:tcPr>
          <w:p>
            <w:pPr>
              <w:widowControl/>
              <w:spacing w:line="240" w:lineRule="auto"/>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项目技术要求：</w:t>
            </w:r>
          </w:p>
          <w:p>
            <w:pPr>
              <w:numPr>
                <w:ilvl w:val="0"/>
                <w:numId w:val="0"/>
              </w:numPr>
              <w:rPr>
                <w:rFonts w:hint="eastAsia" w:ascii="仿宋_GB2312" w:hAnsi="仿宋_GB2312" w:eastAsia="仿宋_GB2312" w:cs="仿宋_GB2312"/>
                <w:kern w:val="0"/>
                <w:sz w:val="24"/>
                <w:lang w:eastAsia="zh-CN"/>
              </w:rPr>
            </w:pPr>
            <w:r>
              <w:rPr>
                <w:rFonts w:hint="eastAsia" w:ascii="仿宋_GB2312" w:hAnsi="仿宋_GB2312" w:eastAsia="仿宋_GB2312" w:cs="仿宋_GB2312"/>
                <w:kern w:val="0"/>
                <w:sz w:val="24"/>
                <w:lang w:val="en-US" w:eastAsia="zh-CN"/>
              </w:rPr>
              <w:t>1.系统组成：包括1套行业应用级/工业级四足机器人，机器人需满足IP67防护等级，能够在-20℃至55℃的室外环境中正常运行；1套AI边缘计算终端；</w:t>
            </w:r>
            <w:r>
              <w:rPr>
                <w:rFonts w:hint="eastAsia" w:ascii="仿宋_GB2312" w:hAnsi="仿宋_GB2312" w:eastAsia="仿宋_GB2312" w:cs="仿宋_GB2312"/>
                <w:kern w:val="0"/>
                <w:sz w:val="24"/>
              </w:rPr>
              <w:t>配套所需的软件、耗材和辅助材料</w:t>
            </w:r>
            <w:r>
              <w:rPr>
                <w:rFonts w:hint="eastAsia" w:ascii="仿宋_GB2312" w:hAnsi="仿宋_GB2312" w:eastAsia="仿宋_GB2312" w:cs="仿宋_GB2312"/>
                <w:kern w:val="0"/>
                <w:sz w:val="24"/>
                <w:lang w:eastAsia="zh-CN"/>
              </w:rPr>
              <w:t>；</w:t>
            </w:r>
          </w:p>
          <w:p>
            <w:pPr>
              <w:widowControl/>
              <w:spacing w:line="240" w:lineRule="auto"/>
              <w:jc w:val="left"/>
              <w:rPr>
                <w:rFonts w:hint="eastAsia"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2.智能控制器：导航主机主板同时兼顾业务相关的程序处理，主要提供地图构建、定位导航等功能。集成千兆网络交换机以及多个稳压模块。</w:t>
            </w:r>
          </w:p>
          <w:p>
            <w:pPr>
              <w:widowControl/>
              <w:spacing w:line="240" w:lineRule="auto"/>
              <w:jc w:val="left"/>
              <w:rPr>
                <w:rFonts w:hint="eastAsia"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3.网络部署：通过智能专网，前端实时检测数据通过4G无线网络自动传输，与中心服务器实时通讯，将巡检相关信息（取证图像、位置信息、道路信息等）及时传至管理平台中心进行处理；</w:t>
            </w:r>
          </w:p>
          <w:p>
            <w:pPr>
              <w:widowControl/>
              <w:spacing w:line="240" w:lineRule="auto"/>
              <w:jc w:val="left"/>
              <w:rPr>
                <w:rFonts w:hint="default"/>
                <w:lang w:val="en-US" w:eastAsia="zh-CN"/>
              </w:rPr>
            </w:pPr>
            <w:r>
              <w:rPr>
                <w:rFonts w:hint="eastAsia" w:ascii="仿宋_GB2312" w:hAnsi="仿宋_GB2312" w:eastAsia="仿宋_GB2312" w:cs="仿宋_GB2312"/>
                <w:kern w:val="0"/>
                <w:sz w:val="24"/>
                <w:lang w:val="en-US" w:eastAsia="zh-CN"/>
              </w:rPr>
              <w:t>4.运维服务：四足机器人日常运维服务、相关配套系统软件的运维服务。</w:t>
            </w:r>
          </w:p>
        </w:tc>
      </w:tr>
      <w:tr>
        <w:tblPrEx>
          <w:tblCellMar>
            <w:top w:w="0" w:type="dxa"/>
            <w:left w:w="108" w:type="dxa"/>
            <w:bottom w:w="0" w:type="dxa"/>
            <w:right w:w="108" w:type="dxa"/>
          </w:tblCellMar>
        </w:tblPrEx>
        <w:trPr>
          <w:trHeight w:val="3753" w:hRule="atLeast"/>
        </w:trPr>
        <w:tc>
          <w:tcPr>
            <w:tcW w:w="639" w:type="pct"/>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仿宋_GB2312" w:hAnsi="仿宋_GB2312" w:eastAsia="仿宋_GB2312" w:cs="仿宋_GB2312"/>
                <w:kern w:val="0"/>
                <w:sz w:val="24"/>
              </w:rPr>
            </w:pPr>
          </w:p>
        </w:tc>
        <w:tc>
          <w:tcPr>
            <w:tcW w:w="4361" w:type="pct"/>
            <w:gridSpan w:val="4"/>
            <w:tcBorders>
              <w:top w:val="single" w:color="auto" w:sz="4" w:space="0"/>
              <w:left w:val="nil"/>
              <w:bottom w:val="single" w:color="auto" w:sz="4" w:space="0"/>
              <w:right w:val="single" w:color="auto" w:sz="4" w:space="0"/>
            </w:tcBorders>
          </w:tcPr>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项目商务要求：</w:t>
            </w:r>
          </w:p>
          <w:p>
            <w:pPr>
              <w:widowControl/>
              <w:numPr>
                <w:ilvl w:val="0"/>
                <w:numId w:val="1"/>
              </w:numPr>
              <w:spacing w:line="240" w:lineRule="auto"/>
              <w:ind w:firstLine="0" w:firstLineChars="0"/>
              <w:jc w:val="left"/>
              <w:rPr>
                <w:rFonts w:hint="eastAsia"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合同签订期限：1年。本项目为长期服务项目，合同一年一签，合同期满前，采购人将视考核情况决定是否续约，合同履行期限最长不超过24个月。</w:t>
            </w:r>
          </w:p>
          <w:p>
            <w:pPr>
              <w:widowControl/>
              <w:numPr>
                <w:ilvl w:val="0"/>
                <w:numId w:val="0"/>
              </w:numPr>
              <w:spacing w:line="240" w:lineRule="auto"/>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2.付款方式：</w:t>
            </w:r>
          </w:p>
          <w:p>
            <w:pPr>
              <w:widowControl/>
              <w:spacing w:line="240" w:lineRule="auto"/>
              <w:ind w:firstLine="240" w:firstLineChars="10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分期付款：合同签订后，中标供应商提供符合规定的发票，街道办15日内支付合同总额的</w:t>
            </w:r>
            <w:r>
              <w:rPr>
                <w:rFonts w:hint="eastAsia" w:ascii="仿宋_GB2312" w:hAnsi="仿宋_GB2312" w:eastAsia="仿宋_GB2312" w:cs="仿宋_GB2312"/>
                <w:kern w:val="0"/>
                <w:sz w:val="24"/>
                <w:lang w:val="en-US" w:eastAsia="zh-CN"/>
              </w:rPr>
              <w:t>40</w:t>
            </w:r>
            <w:r>
              <w:rPr>
                <w:rFonts w:hint="eastAsia" w:ascii="仿宋_GB2312" w:hAnsi="仿宋_GB2312" w:eastAsia="仿宋_GB2312" w:cs="仿宋_GB2312"/>
                <w:kern w:val="0"/>
                <w:sz w:val="24"/>
              </w:rPr>
              <w:t>%；</w:t>
            </w:r>
            <w:r>
              <w:rPr>
                <w:rFonts w:hint="eastAsia" w:ascii="仿宋_GB2312" w:hAnsi="仿宋_GB2312" w:eastAsia="仿宋_GB2312" w:cs="仿宋_GB2312"/>
                <w:kern w:val="0"/>
                <w:sz w:val="24"/>
                <w:lang w:val="en-US" w:eastAsia="zh-CN"/>
              </w:rPr>
              <w:t>合同签订满6个月后，</w:t>
            </w:r>
            <w:r>
              <w:rPr>
                <w:rFonts w:hint="eastAsia" w:ascii="仿宋_GB2312" w:hAnsi="仿宋_GB2312" w:eastAsia="仿宋_GB2312" w:cs="仿宋_GB2312"/>
                <w:kern w:val="0"/>
                <w:sz w:val="24"/>
              </w:rPr>
              <w:t>中标供应商提供符合规定的发票，街道办15日内支付合同总额的</w:t>
            </w:r>
            <w:r>
              <w:rPr>
                <w:rFonts w:hint="eastAsia" w:ascii="仿宋_GB2312" w:hAnsi="仿宋_GB2312" w:eastAsia="仿宋_GB2312" w:cs="仿宋_GB2312"/>
                <w:kern w:val="0"/>
                <w:sz w:val="24"/>
                <w:lang w:val="en-US" w:eastAsia="zh-CN"/>
              </w:rPr>
              <w:t>20</w:t>
            </w:r>
            <w:r>
              <w:rPr>
                <w:rFonts w:hint="eastAsia" w:ascii="仿宋_GB2312" w:hAnsi="仿宋_GB2312" w:eastAsia="仿宋_GB2312" w:cs="仿宋_GB2312"/>
                <w:kern w:val="0"/>
                <w:sz w:val="24"/>
              </w:rPr>
              <w:t>%；</w:t>
            </w:r>
            <w:r>
              <w:rPr>
                <w:rFonts w:hint="eastAsia" w:ascii="仿宋_GB2312" w:hAnsi="仿宋_GB2312" w:eastAsia="仿宋_GB2312" w:cs="仿宋_GB2312"/>
                <w:kern w:val="0"/>
                <w:sz w:val="24"/>
                <w:lang w:val="en-US" w:eastAsia="zh-CN"/>
              </w:rPr>
              <w:t>中标供应商已按要求完成合同所有服务项目，</w:t>
            </w:r>
            <w:r>
              <w:rPr>
                <w:rFonts w:hint="eastAsia" w:ascii="仿宋_GB2312" w:hAnsi="仿宋_GB2312" w:eastAsia="仿宋_GB2312" w:cs="仿宋_GB2312"/>
                <w:kern w:val="0"/>
                <w:sz w:val="24"/>
              </w:rPr>
              <w:t>中标供应商提供符合规定的发票，街道办支付合同总额</w:t>
            </w:r>
            <w:r>
              <w:rPr>
                <w:rFonts w:hint="eastAsia" w:ascii="仿宋_GB2312" w:hAnsi="仿宋_GB2312" w:eastAsia="仿宋_GB2312" w:cs="仿宋_GB2312"/>
                <w:kern w:val="0"/>
                <w:sz w:val="24"/>
                <w:lang w:val="en-US" w:eastAsia="zh-CN"/>
              </w:rPr>
              <w:t>40</w:t>
            </w:r>
            <w:r>
              <w:rPr>
                <w:rFonts w:hint="eastAsia" w:ascii="仿宋_GB2312" w:hAnsi="仿宋_GB2312" w:eastAsia="仿宋_GB2312" w:cs="仿宋_GB2312"/>
                <w:kern w:val="0"/>
                <w:sz w:val="24"/>
              </w:rPr>
              <w:t>%。</w:t>
            </w:r>
          </w:p>
          <w:p>
            <w:pPr>
              <w:widowControl/>
              <w:spacing w:line="240" w:lineRule="auto"/>
              <w:ind w:firstLine="0" w:firstLineChars="0"/>
              <w:jc w:val="left"/>
              <w:rPr>
                <w:rFonts w:hint="eastAsia" w:ascii="仿宋_GB2312" w:hAnsi="仿宋_GB2312" w:eastAsia="仿宋_GB2312" w:cs="仿宋_GB2312"/>
                <w:kern w:val="0"/>
                <w:sz w:val="24"/>
                <w:lang w:val="en-US" w:eastAsia="zh-CN"/>
              </w:rPr>
            </w:pPr>
            <w:r>
              <w:rPr>
                <w:rFonts w:hint="eastAsia" w:ascii="仿宋_GB2312" w:hAnsi="仿宋_GB2312" w:eastAsia="仿宋_GB2312" w:cs="仿宋_GB2312"/>
                <w:kern w:val="0"/>
                <w:sz w:val="24"/>
              </w:rPr>
              <w:t>3.报价要求：</w:t>
            </w:r>
            <w:r>
              <w:rPr>
                <w:rFonts w:hint="eastAsia" w:ascii="仿宋_GB2312" w:hAnsi="仿宋_GB2312" w:eastAsia="仿宋_GB2312" w:cs="仿宋_GB2312"/>
                <w:kern w:val="0"/>
                <w:sz w:val="24"/>
                <w:lang w:eastAsia="zh-CN"/>
              </w:rPr>
              <w:t>不高于预算金额。</w:t>
            </w:r>
          </w:p>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b/>
                <w:bCs/>
                <w:kern w:val="0"/>
                <w:sz w:val="24"/>
                <w:lang w:val="en-US" w:eastAsia="zh-CN"/>
              </w:rPr>
              <w:t>备注：最终合同签订价格以我单位聘请的第三方审计价格为准。</w:t>
            </w:r>
          </w:p>
        </w:tc>
      </w:tr>
      <w:tr>
        <w:tblPrEx>
          <w:tblCellMar>
            <w:top w:w="0" w:type="dxa"/>
            <w:left w:w="108" w:type="dxa"/>
            <w:bottom w:w="0" w:type="dxa"/>
            <w:right w:w="108" w:type="dxa"/>
          </w:tblCellMar>
        </w:tblPrEx>
        <w:trPr>
          <w:trHeight w:val="2889" w:hRule="atLeast"/>
        </w:trPr>
        <w:tc>
          <w:tcPr>
            <w:tcW w:w="639" w:type="pct"/>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投标人资质要求</w:t>
            </w:r>
          </w:p>
        </w:tc>
        <w:tc>
          <w:tcPr>
            <w:tcW w:w="4361" w:type="pct"/>
            <w:gridSpan w:val="4"/>
            <w:tcBorders>
              <w:top w:val="single" w:color="auto" w:sz="4" w:space="0"/>
              <w:left w:val="nil"/>
              <w:bottom w:val="single" w:color="auto" w:sz="4" w:space="0"/>
              <w:right w:val="single" w:color="auto" w:sz="4" w:space="0"/>
            </w:tcBorders>
          </w:tcPr>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1.具有独立法人资格或具有独立承担民事责任的能力的其它组织（提供营业执照或事业单位法人证等法人证明扫描件，原件备查）。</w:t>
            </w:r>
          </w:p>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2.本项目不接受联合体投标。</w:t>
            </w:r>
          </w:p>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3.参与本项目投标前三年内，在经营活动中没有重大违法记录；参与本项目政府采购活动时不存在被有关部门禁止参与政府采购活动且在有效期内的情况；具备《中华人民共和国政府采购法》第二十二条第一款的条件；参与政府采购项目投标的供应商未被列入失信被执行人、重大税收违法案件当事人名单、政府采购严重违法失信行为记录名单。</w:t>
            </w:r>
          </w:p>
        </w:tc>
      </w:tr>
      <w:tr>
        <w:tblPrEx>
          <w:tblCellMar>
            <w:top w:w="0" w:type="dxa"/>
            <w:left w:w="108" w:type="dxa"/>
            <w:bottom w:w="0" w:type="dxa"/>
            <w:right w:w="108" w:type="dxa"/>
          </w:tblCellMar>
        </w:tblPrEx>
        <w:trPr>
          <w:trHeight w:val="1270" w:hRule="atLeast"/>
        </w:trPr>
        <w:tc>
          <w:tcPr>
            <w:tcW w:w="639" w:type="pct"/>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投标人需提供资料</w:t>
            </w:r>
          </w:p>
        </w:tc>
        <w:tc>
          <w:tcPr>
            <w:tcW w:w="4361" w:type="pct"/>
            <w:gridSpan w:val="4"/>
            <w:tcBorders>
              <w:top w:val="single" w:color="auto" w:sz="4" w:space="0"/>
              <w:left w:val="nil"/>
              <w:bottom w:val="single" w:color="auto" w:sz="4" w:space="0"/>
              <w:right w:val="single" w:color="auto" w:sz="4" w:space="0"/>
            </w:tcBorders>
          </w:tcPr>
          <w:p>
            <w:pPr>
              <w:widowControl/>
              <w:numPr>
                <w:ilvl w:val="0"/>
                <w:numId w:val="2"/>
              </w:numPr>
              <w:spacing w:line="240" w:lineRule="auto"/>
              <w:ind w:firstLine="0" w:firstLineChars="0"/>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营业执照、经营范围等相关资质复印件</w:t>
            </w:r>
            <w:r>
              <w:rPr>
                <w:rFonts w:hint="eastAsia" w:ascii="仿宋_GB2312" w:hAnsi="仿宋_GB2312" w:eastAsia="仿宋_GB2312" w:cs="仿宋_GB2312"/>
                <w:kern w:val="0"/>
                <w:sz w:val="24"/>
                <w:lang w:eastAsia="zh-CN"/>
              </w:rPr>
              <w:t>；</w:t>
            </w:r>
          </w:p>
          <w:p>
            <w:pPr>
              <w:widowControl/>
              <w:numPr>
                <w:ilvl w:val="0"/>
                <w:numId w:val="0"/>
              </w:numPr>
              <w:spacing w:line="240" w:lineRule="auto"/>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2、投标报价单(须写出详实内容:包括但不限于价格、服务项目、内容、服务人数等);</w:t>
            </w:r>
          </w:p>
          <w:p>
            <w:pPr>
              <w:widowControl/>
              <w:spacing w:line="240" w:lineRule="auto"/>
              <w:ind w:firstLine="0" w:firstLineChars="0"/>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3</w:t>
            </w:r>
            <w:r>
              <w:rPr>
                <w:rFonts w:hint="eastAsia" w:ascii="仿宋_GB2312" w:hAnsi="仿宋_GB2312" w:eastAsia="仿宋_GB2312" w:cs="仿宋_GB2312"/>
                <w:kern w:val="0"/>
                <w:sz w:val="24"/>
                <w:lang w:eastAsia="zh-CN"/>
              </w:rPr>
              <w:t>、</w:t>
            </w:r>
            <w:bookmarkStart w:id="0" w:name="_GoBack"/>
            <w:bookmarkEnd w:id="0"/>
            <w:r>
              <w:rPr>
                <w:rFonts w:hint="eastAsia" w:ascii="仿宋_GB2312" w:hAnsi="仿宋_GB2312" w:eastAsia="仿宋_GB2312" w:cs="仿宋_GB2312"/>
                <w:kern w:val="0"/>
                <w:sz w:val="24"/>
              </w:rPr>
              <w:t>加盖公章的《供应商基本情况表》必填（详见附件2）</w:t>
            </w:r>
          </w:p>
          <w:p>
            <w:pPr>
              <w:widowControl/>
              <w:spacing w:line="240" w:lineRule="auto"/>
              <w:ind w:firstLine="0" w:firstLineChars="0"/>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4、对此项目的运营提供详细的服务方案;</w:t>
            </w:r>
          </w:p>
          <w:p>
            <w:pPr>
              <w:widowControl/>
              <w:spacing w:line="240" w:lineRule="auto"/>
              <w:ind w:firstLine="0" w:firstLineChars="0"/>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5、公司详细简介;</w:t>
            </w:r>
          </w:p>
          <w:p>
            <w:pPr>
              <w:widowControl/>
              <w:spacing w:line="240" w:lineRule="auto"/>
              <w:ind w:firstLine="0" w:firstLineChars="0"/>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6、项目相关案例、业绩等;</w:t>
            </w:r>
          </w:p>
          <w:p>
            <w:pPr>
              <w:widowControl/>
              <w:spacing w:line="240" w:lineRule="auto"/>
              <w:ind w:firstLine="0" w:firstLineChars="0"/>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7、近三年内无行贿犯罪记录、无重大违法经营记录的声明和不存在处于被禁止参与政府采购活动期限内情形的声明函(声明函格式自拟)</w:t>
            </w:r>
          </w:p>
          <w:p>
            <w:pPr>
              <w:widowControl/>
              <w:spacing w:line="240" w:lineRule="auto"/>
              <w:ind w:firstLine="0" w:firstLineChars="0"/>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8、可体现投标人综合实力及运营管理能力的其他资料</w:t>
            </w:r>
          </w:p>
          <w:p>
            <w:pPr>
              <w:widowControl/>
              <w:spacing w:line="240" w:lineRule="auto"/>
              <w:ind w:firstLine="0" w:firstLineChars="0"/>
              <w:jc w:val="left"/>
              <w:rPr>
                <w:rFonts w:hint="eastAsia" w:ascii="仿宋_GB2312" w:hAnsi="仿宋_GB2312" w:eastAsia="仿宋_GB2312" w:cs="仿宋_GB2312"/>
                <w:kern w:val="0"/>
                <w:sz w:val="24"/>
              </w:rPr>
            </w:pPr>
          </w:p>
          <w:p>
            <w:pPr>
              <w:widowControl/>
              <w:spacing w:line="240" w:lineRule="auto"/>
              <w:ind w:firstLine="0" w:firstLineChars="0"/>
              <w:jc w:val="left"/>
              <w:rPr>
                <w:rFonts w:hint="eastAsia" w:ascii="仿宋_GB2312" w:hAnsi="仿宋_GB2312" w:eastAsia="仿宋_GB2312" w:cs="仿宋_GB2312"/>
                <w:b/>
                <w:bCs/>
                <w:kern w:val="0"/>
                <w:sz w:val="24"/>
              </w:rPr>
            </w:pPr>
            <w:r>
              <w:rPr>
                <w:rFonts w:hint="eastAsia" w:ascii="仿宋_GB2312" w:hAnsi="仿宋_GB2312" w:eastAsia="仿宋_GB2312" w:cs="仿宋_GB2312"/>
                <w:b/>
                <w:bCs/>
                <w:kern w:val="0"/>
                <w:sz w:val="24"/>
              </w:rPr>
              <w:t>投标文件需要有投标文件封面</w:t>
            </w:r>
          </w:p>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b/>
                <w:bCs/>
                <w:kern w:val="0"/>
                <w:sz w:val="24"/>
              </w:rPr>
              <w:t>以上文件均需每页加盖单位公章并装订成册，且应将资料密封存入不透明文件袋中，贴密封条并加盖公章，否则视为无效投标。</w:t>
            </w:r>
          </w:p>
        </w:tc>
      </w:tr>
    </w:tbl>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黑体" w:hAnsi="黑体" w:eastAsia="黑体" w:cs="黑体"/>
          <w:sz w:val="32"/>
          <w:szCs w:val="32"/>
          <w:lang w:val="en-US" w:eastAsia="zh-CN"/>
        </w:rPr>
      </w:pPr>
    </w:p>
    <w:sectPr>
      <w:footerReference r:id="rId3" w:type="default"/>
      <w:pgSz w:w="11906" w:h="16838"/>
      <w:pgMar w:top="1361" w:right="1361" w:bottom="1361" w:left="1361" w:header="851" w:footer="992" w:gutter="0"/>
      <w:pgBorders>
        <w:top w:val="none" w:sz="0" w:space="0"/>
        <w:left w:val="none" w:sz="0" w:space="0"/>
        <w:bottom w:val="none" w:sz="0" w:space="0"/>
        <w:right w:val="none" w:sz="0" w:space="0"/>
      </w:pgBorders>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C217E84"/>
    <w:multiLevelType w:val="singleLevel"/>
    <w:tmpl w:val="FC217E84"/>
    <w:lvl w:ilvl="0" w:tentative="0">
      <w:start w:val="1"/>
      <w:numFmt w:val="decimal"/>
      <w:lvlText w:val="%1."/>
      <w:lvlJc w:val="left"/>
      <w:pPr>
        <w:tabs>
          <w:tab w:val="left" w:pos="312"/>
        </w:tabs>
      </w:pPr>
    </w:lvl>
  </w:abstractNum>
  <w:abstractNum w:abstractNumId="1">
    <w:nsid w:val="42E80F0A"/>
    <w:multiLevelType w:val="singleLevel"/>
    <w:tmpl w:val="42E80F0A"/>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NlZTVjZmY1YTU2ZTU2NjBjNTE0MjY1ZGIyOTBhOTQifQ=="/>
  </w:docVars>
  <w:rsids>
    <w:rsidRoot w:val="194B399D"/>
    <w:rsid w:val="091C13C7"/>
    <w:rsid w:val="099851A0"/>
    <w:rsid w:val="0A4669B5"/>
    <w:rsid w:val="11312983"/>
    <w:rsid w:val="14C24AD9"/>
    <w:rsid w:val="172C00A3"/>
    <w:rsid w:val="18B761FE"/>
    <w:rsid w:val="194B399D"/>
    <w:rsid w:val="1AF3636A"/>
    <w:rsid w:val="1CD203FA"/>
    <w:rsid w:val="1D1041D7"/>
    <w:rsid w:val="1EE555EA"/>
    <w:rsid w:val="251026CF"/>
    <w:rsid w:val="2E544988"/>
    <w:rsid w:val="2F666F2F"/>
    <w:rsid w:val="2FBB6ACC"/>
    <w:rsid w:val="304A7E50"/>
    <w:rsid w:val="334D7C7F"/>
    <w:rsid w:val="340E45C5"/>
    <w:rsid w:val="3F1434CE"/>
    <w:rsid w:val="4081460D"/>
    <w:rsid w:val="416451E2"/>
    <w:rsid w:val="447E6A90"/>
    <w:rsid w:val="49E34078"/>
    <w:rsid w:val="4E144BA8"/>
    <w:rsid w:val="55F435C2"/>
    <w:rsid w:val="587C663C"/>
    <w:rsid w:val="5A771A36"/>
    <w:rsid w:val="5C8F69B7"/>
    <w:rsid w:val="5E6C107A"/>
    <w:rsid w:val="5EBA216A"/>
    <w:rsid w:val="66AD6A92"/>
    <w:rsid w:val="66C374B6"/>
    <w:rsid w:val="670C0754"/>
    <w:rsid w:val="68BE7D52"/>
    <w:rsid w:val="6A1555D3"/>
    <w:rsid w:val="7C927278"/>
    <w:rsid w:val="7E97605D"/>
    <w:rsid w:val="7F3467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next w:val="1"/>
    <w:qFormat/>
    <w:uiPriority w:val="1"/>
    <w:pPr>
      <w:widowControl w:val="0"/>
      <w:autoSpaceDE w:val="0"/>
      <w:autoSpaceDN w:val="0"/>
      <w:spacing w:before="0" w:after="0" w:line="240" w:lineRule="auto"/>
      <w:ind w:left="106" w:right="0"/>
      <w:jc w:val="left"/>
    </w:pPr>
    <w:rPr>
      <w:rFonts w:ascii="仿宋_GB2312" w:hAnsi="仿宋_GB2312" w:eastAsia="仿宋_GB2312" w:cs="仿宋_GB2312"/>
      <w:sz w:val="32"/>
      <w:szCs w:val="32"/>
      <w:lang w:val="zh-CN" w:eastAsia="zh-CN" w:bidi="zh-CN"/>
    </w:rPr>
  </w:style>
  <w:style w:type="paragraph" w:styleId="3">
    <w:name w:val="Normal Indent"/>
    <w:basedOn w:val="1"/>
    <w:qFormat/>
    <w:uiPriority w:val="0"/>
    <w:pPr>
      <w:spacing w:line="560" w:lineRule="exact"/>
      <w:ind w:firstLine="420" w:firstLineChars="2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7">
    <w:name w:val="Table Grid"/>
    <w:basedOn w:val="6"/>
    <w:unhideWhenUsed/>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footnote reference"/>
    <w:basedOn w:val="8"/>
    <w:qFormat/>
    <w:uiPriority w:val="0"/>
    <w:rPr>
      <w:vertAlign w:val="superscript"/>
    </w:rPr>
  </w:style>
  <w:style w:type="character" w:customStyle="1" w:styleId="10">
    <w:name w:val="font11"/>
    <w:basedOn w:val="8"/>
    <w:qFormat/>
    <w:uiPriority w:val="0"/>
    <w:rPr>
      <w:rFonts w:hint="eastAsia" w:ascii="仿宋_GB2312" w:eastAsia="仿宋_GB2312" w:cs="仿宋_GB2312"/>
      <w:color w:val="000000"/>
      <w:sz w:val="28"/>
      <w:szCs w:val="28"/>
      <w:u w:val="none"/>
    </w:rPr>
  </w:style>
  <w:style w:type="paragraph" w:customStyle="1" w:styleId="11">
    <w:name w:val="列出段落3"/>
    <w:basedOn w:val="1"/>
    <w:unhideWhenUsed/>
    <w:qFormat/>
    <w:uiPriority w:val="99"/>
    <w:pPr>
      <w:ind w:firstLine="420" w:firstLineChars="200"/>
    </w:pPr>
  </w:style>
  <w:style w:type="paragraph" w:customStyle="1" w:styleId="12">
    <w:name w:val="Heading #1|1"/>
    <w:basedOn w:val="1"/>
    <w:qFormat/>
    <w:uiPriority w:val="0"/>
    <w:pPr>
      <w:spacing w:after="580" w:line="590" w:lineRule="exact"/>
      <w:jc w:val="center"/>
      <w:outlineLvl w:val="0"/>
    </w:pPr>
    <w:rPr>
      <w:rFonts w:ascii="宋体" w:hAnsi="宋体" w:eastAsia="宋体" w:cs="宋体"/>
      <w:sz w:val="44"/>
      <w:szCs w:val="44"/>
      <w:lang w:val="zh-TW" w:eastAsia="zh-TW" w:bidi="zh-TW"/>
    </w:rPr>
  </w:style>
  <w:style w:type="paragraph" w:customStyle="1" w:styleId="13">
    <w:name w:val="Other|1"/>
    <w:basedOn w:val="1"/>
    <w:qFormat/>
    <w:uiPriority w:val="0"/>
    <w:rPr>
      <w:rFonts w:ascii="宋体" w:hAnsi="宋体" w:eastAsia="宋体" w:cs="宋体"/>
      <w:sz w:val="20"/>
      <w:szCs w:val="20"/>
      <w:lang w:val="zh-TW" w:eastAsia="zh-TW" w:bidi="zh-TW"/>
    </w:rPr>
  </w:style>
  <w:style w:type="paragraph" w:customStyle="1" w:styleId="14">
    <w:name w:val="Body text|1"/>
    <w:basedOn w:val="1"/>
    <w:qFormat/>
    <w:uiPriority w:val="0"/>
    <w:pPr>
      <w:spacing w:line="432" w:lineRule="auto"/>
      <w:ind w:firstLine="400"/>
    </w:pPr>
    <w:rPr>
      <w:rFonts w:ascii="宋体" w:hAnsi="宋体" w:eastAsia="宋体" w:cs="宋体"/>
      <w:sz w:val="28"/>
      <w:szCs w:val="28"/>
      <w:lang w:val="zh-TW" w:eastAsia="zh-TW" w:bidi="zh-TW"/>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59</TotalTime>
  <ScaleCrop>false</ScaleCrop>
  <LinksUpToDate>false</LinksUpToDate>
  <CharactersWithSpaces>0</CharactersWithSpaces>
  <Application>WPS Office_11.8.2.12094_F1E327BC-269C-435d-A152-05C5408002CA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2023-11-02T01:41:00Z</dcterms:created>
  <dc:creator>lulu</dc:creator>
  <cp:lastModifiedBy>lulu</cp:lastModifiedBy>
  <dcterms:modified xsi:type="dcterms:W3CDTF">2025-06-18T02:42:55Z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2052-11.8.2.12094</vt:lpwstr>
  </property>
  <property fmtid="{D5CDD505-2E9C-101B-9397-08002B2CF9AE}" pid="3" name="ICV">
    <vt:lpwstr>FF4F68D01A50418B8222255FFA1F9B19</vt:lpwstr>
  </property>
</Properties>
</file>