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采购项目需求方案（参考模板）</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175"/>
        <w:gridCol w:w="2110"/>
        <w:gridCol w:w="1706"/>
        <w:gridCol w:w="1837"/>
        <w:gridCol w:w="2572"/>
      </w:tblGrid>
      <w:tr>
        <w:tblPrEx>
          <w:tblCellMar>
            <w:top w:w="0" w:type="dxa"/>
            <w:left w:w="108" w:type="dxa"/>
            <w:bottom w:w="0" w:type="dxa"/>
            <w:right w:w="108" w:type="dxa"/>
          </w:tblCellMar>
        </w:tblPrEx>
        <w:trPr>
          <w:trHeight w:val="567" w:hRule="exact"/>
        </w:trPr>
        <w:tc>
          <w:tcPr>
            <w:tcW w:w="62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名称</w:t>
            </w:r>
          </w:p>
        </w:tc>
        <w:tc>
          <w:tcPr>
            <w:tcW w:w="202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both"/>
              <w:rPr>
                <w:rFonts w:hint="eastAsia" w:ascii="仿宋_GB2312" w:hAnsi="仿宋_GB2312" w:eastAsia="仿宋_GB2312" w:cs="仿宋_GB2312"/>
                <w:b/>
                <w:bCs/>
                <w:kern w:val="0"/>
                <w:sz w:val="24"/>
                <w:lang w:val="en-US" w:eastAsia="zh-CN"/>
              </w:rPr>
            </w:pPr>
            <w:r>
              <w:rPr>
                <w:rFonts w:hint="eastAsia" w:ascii="仿宋_GB2312" w:hAnsi="仿宋_GB2312" w:eastAsia="仿宋_GB2312" w:cs="仿宋_GB2312"/>
                <w:kern w:val="0"/>
                <w:sz w:val="24"/>
              </w:rPr>
              <w:t>福保街道社会救助社工服务</w:t>
            </w:r>
            <w:r>
              <w:rPr>
                <w:rFonts w:hint="eastAsia" w:ascii="仿宋_GB2312" w:hAnsi="仿宋_GB2312" w:eastAsia="仿宋_GB2312" w:cs="仿宋_GB2312"/>
                <w:kern w:val="0"/>
                <w:sz w:val="24"/>
                <w:lang w:val="en-US" w:eastAsia="zh-CN"/>
              </w:rPr>
              <w:t>项目</w:t>
            </w:r>
          </w:p>
        </w:tc>
        <w:tc>
          <w:tcPr>
            <w:tcW w:w="97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368"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326000</w:t>
            </w:r>
            <w:r>
              <w:rPr>
                <w:rFonts w:hint="eastAsia" w:ascii="仿宋_GB2312" w:hAnsi="仿宋_GB2312" w:eastAsia="仿宋_GB2312" w:cs="仿宋_GB2312"/>
                <w:kern w:val="0"/>
                <w:sz w:val="24"/>
              </w:rPr>
              <w:t xml:space="preserve">      元</w:t>
            </w:r>
          </w:p>
        </w:tc>
      </w:tr>
      <w:tr>
        <w:tblPrEx>
          <w:tblCellMar>
            <w:top w:w="0" w:type="dxa"/>
            <w:left w:w="108" w:type="dxa"/>
            <w:bottom w:w="0" w:type="dxa"/>
            <w:right w:w="108" w:type="dxa"/>
          </w:tblCellMar>
        </w:tblPrEx>
        <w:trPr>
          <w:trHeight w:val="567" w:hRule="exact"/>
        </w:trPr>
        <w:tc>
          <w:tcPr>
            <w:tcW w:w="625"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采购</w:t>
            </w:r>
          </w:p>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部门</w:t>
            </w:r>
          </w:p>
        </w:tc>
        <w:tc>
          <w:tcPr>
            <w:tcW w:w="202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公共服务办</w:t>
            </w:r>
            <w:r>
              <w:rPr>
                <w:rFonts w:hint="eastAsia" w:ascii="仿宋_GB2312" w:hAnsi="仿宋_GB2312" w:eastAsia="仿宋_GB2312" w:cs="仿宋_GB2312"/>
                <w:kern w:val="0"/>
                <w:sz w:val="24"/>
              </w:rPr>
              <w:t>　</w:t>
            </w:r>
          </w:p>
        </w:tc>
        <w:tc>
          <w:tcPr>
            <w:tcW w:w="97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368"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黄工</w:t>
            </w:r>
          </w:p>
        </w:tc>
      </w:tr>
      <w:tr>
        <w:tblPrEx>
          <w:tblCellMar>
            <w:top w:w="0" w:type="dxa"/>
            <w:left w:w="108" w:type="dxa"/>
            <w:bottom w:w="0" w:type="dxa"/>
            <w:right w:w="108" w:type="dxa"/>
          </w:tblCellMar>
        </w:tblPrEx>
        <w:trPr>
          <w:trHeight w:val="969" w:hRule="atLeast"/>
        </w:trPr>
        <w:tc>
          <w:tcPr>
            <w:tcW w:w="625"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采购</w:t>
            </w:r>
          </w:p>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类型</w:t>
            </w:r>
          </w:p>
        </w:tc>
        <w:tc>
          <w:tcPr>
            <w:tcW w:w="112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06"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345"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1365" w:hRule="atLeast"/>
        </w:trPr>
        <w:tc>
          <w:tcPr>
            <w:tcW w:w="625"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背景</w:t>
            </w:r>
          </w:p>
        </w:tc>
        <w:tc>
          <w:tcPr>
            <w:tcW w:w="437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根据福民〔20</w:t>
            </w:r>
            <w:r>
              <w:rPr>
                <w:rFonts w:hint="eastAsia" w:ascii="仿宋_GB2312" w:hAnsi="仿宋_GB2312" w:eastAsia="仿宋_GB2312" w:cs="仿宋_GB2312"/>
                <w:kern w:val="0"/>
                <w:sz w:val="24"/>
                <w:lang w:val="en-US" w:eastAsia="zh-CN"/>
              </w:rPr>
              <w:t>19</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27</w:t>
            </w:r>
            <w:r>
              <w:rPr>
                <w:rFonts w:hint="eastAsia" w:ascii="仿宋_GB2312" w:hAnsi="仿宋_GB2312" w:eastAsia="仿宋_GB2312" w:cs="仿宋_GB2312"/>
                <w:kern w:val="0"/>
                <w:sz w:val="24"/>
                <w:lang w:eastAsia="zh-CN"/>
              </w:rPr>
              <w:t>号《福田区推行政府购买服务加强基层社会救助经办服务能力的实施方案》的要求，为辖区特殊困难老年人、困境儿童、低保及低保边缘家庭等重点对象及其他困弱群体提供针对性的专业服务，兜牢民生底线，以购买服务形式采购社会救助社工开展专业化工作。</w:t>
            </w:r>
          </w:p>
        </w:tc>
      </w:tr>
      <w:tr>
        <w:tblPrEx>
          <w:tblCellMar>
            <w:top w:w="0" w:type="dxa"/>
            <w:left w:w="108" w:type="dxa"/>
            <w:bottom w:w="0" w:type="dxa"/>
            <w:right w:w="108" w:type="dxa"/>
          </w:tblCellMar>
        </w:tblPrEx>
        <w:trPr>
          <w:trHeight w:val="712" w:hRule="atLeast"/>
        </w:trPr>
        <w:tc>
          <w:tcPr>
            <w:tcW w:w="625"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需求</w:t>
            </w:r>
          </w:p>
        </w:tc>
        <w:tc>
          <w:tcPr>
            <w:tcW w:w="437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（一）人员配置要求</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eastAsia="zh-CN"/>
              </w:rPr>
              <w:t>.本项目需要配备</w:t>
            </w:r>
            <w:r>
              <w:rPr>
                <w:rFonts w:hint="eastAsia" w:ascii="仿宋_GB2312" w:hAnsi="仿宋_GB2312" w:eastAsia="仿宋_GB2312" w:cs="仿宋_GB2312"/>
                <w:kern w:val="0"/>
                <w:sz w:val="24"/>
                <w:lang w:val="en-US" w:eastAsia="zh-CN"/>
              </w:rPr>
              <w:t>2名社会工作服务人员，为我街道开展社会救助社工服务工作，同时结合岗位实际，协助用人单位做好有关工作协调及资源整合工作。</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2.所配备的社会工作服务人员应具备以下基本条件：</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1）35</w:t>
            </w:r>
            <w:r>
              <w:rPr>
                <w:rFonts w:hint="eastAsia" w:ascii="仿宋_GB2312" w:hAnsi="仿宋_GB2312" w:eastAsia="仿宋_GB2312" w:cs="仿宋_GB2312"/>
                <w:kern w:val="0"/>
                <w:sz w:val="24"/>
                <w:lang w:eastAsia="zh-CN"/>
              </w:rPr>
              <w:t>周岁及以下，大专及以上学历，拥有三年及以上的机关工作经验；</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2）具备较好的口头、文字表达能力，较强的沟通技巧及协调能力</w:t>
            </w:r>
            <w:r>
              <w:rPr>
                <w:rFonts w:hint="eastAsia" w:ascii="仿宋_GB2312" w:hAnsi="仿宋_GB2312" w:eastAsia="仿宋_GB2312" w:cs="仿宋_GB2312"/>
                <w:kern w:val="0"/>
                <w:sz w:val="24"/>
                <w:lang w:val="en-US" w:eastAsia="zh-CN"/>
              </w:rPr>
              <w:t>；</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3）有扎实的公文写作基础； </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4）必须持有国家社会工作者职业水平证书，有民政工作经验者在同等条件下优先；</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（二）项目管理要求</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1.中标机构应为社工用人单位委派身体健康并符合合同要求的社工，同时监督、管理、指导社工为社工用人单位提供相关的优质服务。</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2.中标机构提供服务的社工必须具有职业资格并统一登记，同时根据需要为社工提供岗前、在岗专业知识培训，并确保培训时间达到80个课时/年。</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3.中标机构应与社工建立劳动关系，订立和履行劳动合同，支付社工工资、交纳社会保险金等相关费用。社工在提供服务时发生意外、受到侵害的，根据实际情况划分责任方，其他方应予以配合，如有不能清楚划分产生争议时，可申请法院诉讼。在岗社工与所属社工机构发生经济纠纷时，与社工采购单位和用人单位无关。</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eastAsia="zh-CN"/>
              </w:rPr>
              <w:t>4.在考核评估中（含试用期内），如机构提供的社工未达到协议标准或未通过相关工作考核，用人单位有权要求社工机构予以调换，经两次以上调换仍达不到工作要求的（或考核评估不达标人数占所提供社工人数的15%以上的），采购单位有权提前终止本次社工购买服务并向中标单位追究由此造成的损失。</w:t>
            </w:r>
          </w:p>
        </w:tc>
      </w:tr>
      <w:tr>
        <w:tblPrEx>
          <w:tblCellMar>
            <w:top w:w="0" w:type="dxa"/>
            <w:left w:w="108" w:type="dxa"/>
            <w:bottom w:w="0" w:type="dxa"/>
            <w:right w:w="108" w:type="dxa"/>
          </w:tblCellMar>
        </w:tblPrEx>
        <w:trPr>
          <w:trHeight w:val="3070" w:hRule="atLeast"/>
        </w:trPr>
        <w:tc>
          <w:tcPr>
            <w:tcW w:w="625"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7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numPr>
                <w:ilvl w:val="0"/>
                <w:numId w:val="1"/>
              </w:numPr>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服务期限：</w:t>
            </w:r>
            <w:r>
              <w:rPr>
                <w:rFonts w:hint="eastAsia" w:ascii="仿宋_GB2312" w:hAnsi="仿宋_GB2312" w:eastAsia="仿宋_GB2312" w:cs="仿宋_GB2312"/>
                <w:kern w:val="0"/>
                <w:sz w:val="24"/>
                <w:lang w:val="en-US" w:eastAsia="zh-CN"/>
              </w:rPr>
              <w:t>本项目为长期服务政府采购项目，服务期限最长为三十六个月，合同一年一签，如甲方对履约情况不满意，甲方不再续约。</w:t>
            </w:r>
          </w:p>
          <w:p>
            <w:pPr>
              <w:widowControl/>
              <w:numPr>
                <w:ilvl w:val="0"/>
                <w:numId w:val="1"/>
              </w:numPr>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%；项目进度验收合格后，中标供应商提供符合规定的发票，街道办15日内支付合同总额的</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20</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根据深圳市人民政府办公厅关于印发《深圳市提升社会工作服务水平若干措施的通知》的规定，本项目投标报价总价中人力成本不少于报价的85%（用于社工工资、五险一金、津补贴、过节费、加班费、服务活动经费、办公经费、个税及考核奖金等薪酬福利），督导经费（督导经费按被督导社会工作从业人员每人每月350元的标准）、业务活动费、管理费、服务险和税费、人员培训费等不得超过项目报价的15%。</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以下情形之一构成乙方根本性违约： </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1.因乙方自身原因不能履行本项目的； </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2.未按照项目预算要求或资金使用计划使用项目经费的； </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3.乙方非因不可抗力拖延项目期限或项目进度的； </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4.乙方擅自变更项目内容、降低工作质量、减少服务数量的； </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5.乙方提供的服务不符合招标文件、投标文件或本合同约定的，甲方有权拒绝接受服务并要求乙方整改。若乙方未在 5 个工作日内完成整改，或经整改后仍不合格的；</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6.乙方擅自委托其它单位或个人完成本项目服务内容的，或乙方将本项目分包、转包给第三方的； </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7.乙方违反保密义务，泄露与本项目相关的资料、信息、数据的；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8.乙方有其他违约行为，导致甲方不能实现项目目的的。</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625"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7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25"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rPr>
            </w:pPr>
            <w:r>
              <w:rPr>
                <w:rFonts w:hint="eastAsia" w:ascii="仿宋_GB2312" w:hAnsi="仿宋_GB2312" w:eastAsia="仿宋_GB2312" w:cs="仿宋_GB2312"/>
                <w:b/>
                <w:bCs/>
                <w:kern w:val="0"/>
                <w:sz w:val="24"/>
              </w:rPr>
              <w:t>投标人需提供资料</w:t>
            </w:r>
          </w:p>
        </w:tc>
        <w:tc>
          <w:tcPr>
            <w:tcW w:w="4374"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1、营业执照、经营范围等相关资质复印件</w:t>
            </w:r>
            <w:r>
              <w:rPr>
                <w:rFonts w:hint="eastAsia" w:ascii="仿宋_GB2312" w:hAnsi="仿宋_GB2312" w:eastAsia="仿宋_GB2312" w:cs="仿宋_GB2312"/>
                <w:kern w:val="0"/>
                <w:sz w:val="24"/>
                <w:lang w:val="en-US"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eastAsia="zh-CN"/>
              </w:rPr>
              <w:t>投标报价单(须写出详实内容:包括但不限于价格、服务项目、内容、服务人数等);</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3.加盖公章的《供应商基本情况表》必填（详见附件2）;</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eastAsia="zh-CN"/>
              </w:rPr>
              <w:t>、公司详细简介;</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eastAsia="zh-CN"/>
              </w:rPr>
              <w:t>、项目相关案例、业绩等;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6、对此项目的运营提供详细的服务方案;</w:t>
            </w:r>
          </w:p>
          <w:p>
            <w:pPr>
              <w:pStyle w:val="2"/>
              <w:ind w:left="0" w:leftChars="0" w:firstLine="0" w:firstLineChars="0"/>
              <w:rPr>
                <w:rFonts w:hint="eastAsia" w:cs="仿宋_GB2312"/>
                <w:kern w:val="0"/>
                <w:sz w:val="24"/>
                <w:lang w:val="en-US" w:eastAsia="zh-CN"/>
              </w:rPr>
            </w:pPr>
            <w:r>
              <w:rPr>
                <w:rFonts w:hint="eastAsia" w:cs="仿宋_GB2312"/>
                <w:kern w:val="0"/>
                <w:sz w:val="24"/>
                <w:lang w:val="en-US" w:eastAsia="zh-CN"/>
              </w:rPr>
              <w:t>7、近三年内无行贿犯罪记录、无重大违法经营记录的声明和不存在处于被禁止参与政府采购活动期限内情形的声明函(声明函格式自拟)</w:t>
            </w:r>
          </w:p>
          <w:p>
            <w:pPr>
              <w:pStyle w:val="2"/>
              <w:ind w:left="0" w:leftChars="0" w:firstLine="0" w:firstLineChars="0"/>
              <w:rPr>
                <w:rFonts w:hint="default"/>
                <w:lang w:val="en-US" w:eastAsia="zh-CN"/>
              </w:rPr>
            </w:pPr>
            <w:bookmarkStart w:id="0" w:name="_GoBack"/>
            <w:bookmarkEnd w:id="0"/>
            <w:r>
              <w:rPr>
                <w:rFonts w:hint="eastAsia" w:cs="仿宋_GB2312"/>
                <w:kern w:val="0"/>
                <w:sz w:val="24"/>
                <w:lang w:val="en-US" w:eastAsia="zh-CN"/>
              </w:rPr>
              <w:t>8、可体现投标人综合实力及运营管理能力的其他资料；</w:t>
            </w:r>
          </w:p>
          <w:p>
            <w:pPr>
              <w:widowControl/>
              <w:spacing w:line="240" w:lineRule="auto"/>
              <w:ind w:firstLine="0" w:firstLineChars="0"/>
              <w:jc w:val="left"/>
              <w:rPr>
                <w:rFonts w:hint="default" w:ascii="仿宋_GB2312" w:hAnsi="仿宋_GB2312" w:eastAsia="仿宋_GB2312" w:cs="仿宋_GB2312"/>
                <w:b/>
                <w:bCs/>
                <w:kern w:val="0"/>
                <w:sz w:val="24"/>
                <w:lang w:val="en-US" w:eastAsia="zh-CN"/>
              </w:rPr>
            </w:pPr>
            <w:r>
              <w:rPr>
                <w:rFonts w:hint="eastAsia" w:ascii="仿宋_GB2312" w:hAnsi="仿宋_GB2312" w:eastAsia="仿宋_GB2312" w:cs="仿宋_GB2312"/>
                <w:b/>
                <w:bCs/>
                <w:kern w:val="0"/>
                <w:sz w:val="24"/>
                <w:lang w:val="en-US" w:eastAsia="zh-CN"/>
              </w:rPr>
              <w:t>投标文件需要有投标文件封面</w:t>
            </w:r>
          </w:p>
          <w:p>
            <w:pPr>
              <w:widowControl/>
              <w:spacing w:line="240" w:lineRule="auto"/>
              <w:ind w:firstLine="0" w:firstLineChars="0"/>
              <w:jc w:val="left"/>
              <w:rPr>
                <w:rFonts w:hint="eastAsia"/>
                <w:lang w:eastAsia="zh-CN"/>
              </w:rPr>
            </w:pPr>
            <w:r>
              <w:rPr>
                <w:rFonts w:hint="eastAsia" w:ascii="仿宋_GB2312" w:hAnsi="仿宋_GB2312" w:eastAsia="仿宋_GB2312" w:cs="仿宋_GB2312"/>
                <w:b/>
                <w:bCs/>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84FE"/>
    <w:multiLevelType w:val="singleLevel"/>
    <w:tmpl w:val="A07184F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91C13C7"/>
    <w:rsid w:val="0A4669B5"/>
    <w:rsid w:val="11312983"/>
    <w:rsid w:val="14151661"/>
    <w:rsid w:val="14C24AD9"/>
    <w:rsid w:val="172C00A3"/>
    <w:rsid w:val="18B761FE"/>
    <w:rsid w:val="194B399D"/>
    <w:rsid w:val="1AF3636A"/>
    <w:rsid w:val="1B6D65E5"/>
    <w:rsid w:val="1CD203FA"/>
    <w:rsid w:val="1D1041D7"/>
    <w:rsid w:val="24334CEE"/>
    <w:rsid w:val="251026CF"/>
    <w:rsid w:val="2E544988"/>
    <w:rsid w:val="2F666F2F"/>
    <w:rsid w:val="2FBB6ACC"/>
    <w:rsid w:val="304A7E50"/>
    <w:rsid w:val="334D7C7F"/>
    <w:rsid w:val="340E45C5"/>
    <w:rsid w:val="3F1434CE"/>
    <w:rsid w:val="4081460D"/>
    <w:rsid w:val="416451E2"/>
    <w:rsid w:val="41F43CAC"/>
    <w:rsid w:val="447E6A90"/>
    <w:rsid w:val="4BF77F27"/>
    <w:rsid w:val="4E144BA8"/>
    <w:rsid w:val="51760135"/>
    <w:rsid w:val="587C663C"/>
    <w:rsid w:val="59A3377F"/>
    <w:rsid w:val="5A771A36"/>
    <w:rsid w:val="5C8F69B7"/>
    <w:rsid w:val="5EBA216A"/>
    <w:rsid w:val="66AD6A92"/>
    <w:rsid w:val="66C374B6"/>
    <w:rsid w:val="670C0754"/>
    <w:rsid w:val="6A1555D3"/>
    <w:rsid w:val="786C0240"/>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2025-06-18T01:59:49Z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21D0D5701E114E7685AD542031D4C6C0_13</vt:lpwstr>
  </property>
</Properties>
</file>