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line="400" w:lineRule="exact"/>
        <w:ind w:firstLine="0" w:firstLineChars="0"/>
        <w:jc w:val="center"/>
        <w:outlineLvl w:val="1"/>
        <w:rPr>
          <w:rFonts w:ascii="方正小标宋简体" w:hAnsi="方正小标宋简体" w:eastAsia="方正小标宋简体" w:cs="方正小标宋简体"/>
          <w:sz w:val="36"/>
          <w:szCs w:val="36"/>
        </w:rPr>
      </w:pPr>
      <w:r>
        <w:rPr>
          <w:rFonts w:hint="eastAsia" w:ascii="方正小标宋简体" w:hAnsi="方正小标宋简体" w:eastAsia="方正小标宋简体" w:cs="方正小标宋简体"/>
          <w:sz w:val="36"/>
          <w:szCs w:val="36"/>
        </w:rPr>
        <w:t>采购项目需求方案</w:t>
      </w:r>
    </w:p>
    <w:p>
      <w:pPr>
        <w:widowControl w:val="0"/>
        <w:spacing w:line="240" w:lineRule="auto"/>
        <w:ind w:firstLine="420" w:firstLineChars="200"/>
        <w:jc w:val="both"/>
        <w:rPr>
          <w:rFonts w:asciiTheme="minorHAnsi" w:hAnsiTheme="minorHAnsi" w:eastAsiaTheme="minorEastAsia" w:cstheme="minorBidi"/>
          <w:kern w:val="2"/>
          <w:sz w:val="21"/>
          <w:szCs w:val="24"/>
          <w:lang w:val="en-US" w:eastAsia="zh-CN" w:bidi="ar-SA"/>
        </w:rPr>
      </w:pPr>
    </w:p>
    <w:tbl>
      <w:tblPr>
        <w:tblStyle w:val="6"/>
        <w:tblW w:w="5000" w:type="pct"/>
        <w:tblInd w:w="0" w:type="dxa"/>
        <w:tblLayout w:type="fixed"/>
        <w:tblCellMar>
          <w:top w:w="0" w:type="dxa"/>
          <w:left w:w="108" w:type="dxa"/>
          <w:bottom w:w="0" w:type="dxa"/>
          <w:right w:w="108" w:type="dxa"/>
        </w:tblCellMar>
      </w:tblPr>
      <w:tblGrid>
        <w:gridCol w:w="1220"/>
        <w:gridCol w:w="2935"/>
        <w:gridCol w:w="1925"/>
        <w:gridCol w:w="1646"/>
        <w:gridCol w:w="1674"/>
      </w:tblGrid>
      <w:tr>
        <w:tblPrEx>
          <w:tblCellMar>
            <w:top w:w="0" w:type="dxa"/>
            <w:left w:w="108" w:type="dxa"/>
            <w:bottom w:w="0" w:type="dxa"/>
            <w:right w:w="108" w:type="dxa"/>
          </w:tblCellMar>
        </w:tblPrEx>
        <w:trPr>
          <w:trHeight w:val="771" w:hRule="exact"/>
        </w:trPr>
        <w:tc>
          <w:tcPr>
            <w:tcW w:w="648" w:type="pc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项目名称</w:t>
            </w:r>
          </w:p>
        </w:tc>
        <w:tc>
          <w:tcPr>
            <w:tcW w:w="2585" w:type="pct"/>
            <w:gridSpan w:val="2"/>
            <w:tcBorders>
              <w:top w:val="single" w:color="auto" w:sz="4" w:space="0"/>
              <w:left w:val="nil"/>
              <w:bottom w:val="single" w:color="auto" w:sz="4" w:space="0"/>
              <w:right w:val="single" w:color="000000" w:sz="4" w:space="0"/>
            </w:tcBorders>
            <w:shd w:val="clear" w:color="auto" w:fill="auto"/>
            <w:noWrap/>
            <w:vAlign w:val="center"/>
          </w:tcPr>
          <w:p>
            <w:pPr>
              <w:widowControl/>
              <w:spacing w:line="240" w:lineRule="auto"/>
              <w:ind w:firstLine="0" w:firstLineChars="0"/>
              <w:jc w:val="center"/>
              <w:rPr>
                <w:rFonts w:hint="eastAsia" w:ascii="仿宋_GB2312" w:hAnsi="仿宋_GB2312" w:eastAsia="仿宋_GB2312" w:cs="仿宋_GB2312"/>
                <w:b/>
                <w:bCs/>
                <w:kern w:val="0"/>
                <w:sz w:val="24"/>
                <w:lang w:eastAsia="zh-CN"/>
              </w:rPr>
            </w:pPr>
            <w:r>
              <w:rPr>
                <w:rFonts w:hint="eastAsia" w:ascii="仿宋_GB2312" w:hAnsi="仿宋_GB2312" w:eastAsia="仿宋_GB2312" w:cs="仿宋_GB2312"/>
                <w:b/>
                <w:bCs/>
                <w:kern w:val="0"/>
                <w:sz w:val="24"/>
                <w:lang w:eastAsia="zh-CN"/>
              </w:rPr>
              <w:t>粤港澳大湾区国际人才驿站（河套）建设工程——家具、标识标牌采购　</w:t>
            </w:r>
          </w:p>
        </w:tc>
        <w:tc>
          <w:tcPr>
            <w:tcW w:w="875" w:type="pct"/>
            <w:tcBorders>
              <w:top w:val="single" w:color="auto" w:sz="4" w:space="0"/>
              <w:left w:val="nil"/>
              <w:bottom w:val="single" w:color="auto" w:sz="4" w:space="0"/>
              <w:right w:val="single" w:color="auto" w:sz="4" w:space="0"/>
            </w:tcBorders>
            <w:shd w:val="clear" w:color="auto" w:fill="auto"/>
            <w:noWrap/>
            <w:vAlign w:val="center"/>
          </w:tcPr>
          <w:p>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预算金额</w:t>
            </w:r>
          </w:p>
        </w:tc>
        <w:tc>
          <w:tcPr>
            <w:tcW w:w="890" w:type="pct"/>
            <w:tcBorders>
              <w:top w:val="single" w:color="auto" w:sz="4" w:space="0"/>
              <w:left w:val="nil"/>
              <w:bottom w:val="single" w:color="auto" w:sz="4" w:space="0"/>
              <w:right w:val="single" w:color="auto" w:sz="4" w:space="0"/>
            </w:tcBorders>
            <w:shd w:val="clear" w:color="auto" w:fill="auto"/>
            <w:noWrap/>
            <w:vAlign w:val="center"/>
          </w:tcPr>
          <w:p>
            <w:pPr>
              <w:widowControl/>
              <w:spacing w:line="240" w:lineRule="auto"/>
              <w:ind w:firstLine="0" w:firstLineChars="0"/>
              <w:jc w:val="center"/>
              <w:rPr>
                <w:rFonts w:hint="eastAsia" w:ascii="仿宋_GB2312" w:hAnsi="仿宋_GB2312" w:eastAsia="仿宋_GB2312" w:cs="仿宋_GB2312"/>
                <w:kern w:val="0"/>
                <w:sz w:val="24"/>
                <w:lang w:eastAsia="zh-CN"/>
              </w:rPr>
            </w:pPr>
            <w:r>
              <w:rPr>
                <w:rFonts w:hint="eastAsia" w:ascii="仿宋_GB2312" w:hAnsi="仿宋_GB2312" w:eastAsia="仿宋_GB2312" w:cs="仿宋_GB2312"/>
                <w:kern w:val="0"/>
                <w:sz w:val="24"/>
                <w:lang w:val="en-US" w:eastAsia="zh-CN"/>
              </w:rPr>
              <w:t>35</w:t>
            </w:r>
            <w:r>
              <w:rPr>
                <w:rFonts w:hint="eastAsia" w:ascii="仿宋_GB2312" w:hAnsi="仿宋_GB2312" w:eastAsia="仿宋_GB2312" w:cs="仿宋_GB2312"/>
                <w:kern w:val="0"/>
                <w:sz w:val="24"/>
              </w:rPr>
              <w:t>万元</w:t>
            </w:r>
            <w:r>
              <w:rPr>
                <w:rFonts w:hint="eastAsia" w:ascii="仿宋_GB2312" w:hAnsi="仿宋_GB2312" w:eastAsia="仿宋_GB2312" w:cs="仿宋_GB2312"/>
                <w:kern w:val="0"/>
                <w:sz w:val="24"/>
                <w:lang w:eastAsia="zh-CN"/>
              </w:rPr>
              <w:t>以内</w:t>
            </w:r>
          </w:p>
        </w:tc>
      </w:tr>
      <w:tr>
        <w:tblPrEx>
          <w:tblCellMar>
            <w:top w:w="0" w:type="dxa"/>
            <w:left w:w="108" w:type="dxa"/>
            <w:bottom w:w="0" w:type="dxa"/>
            <w:right w:w="108" w:type="dxa"/>
          </w:tblCellMar>
        </w:tblPrEx>
        <w:trPr>
          <w:trHeight w:val="621" w:hRule="exact"/>
        </w:trPr>
        <w:tc>
          <w:tcPr>
            <w:tcW w:w="648" w:type="pct"/>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采购部门</w:t>
            </w:r>
          </w:p>
        </w:tc>
        <w:tc>
          <w:tcPr>
            <w:tcW w:w="2585" w:type="pct"/>
            <w:gridSpan w:val="2"/>
            <w:tcBorders>
              <w:top w:val="single" w:color="auto" w:sz="4" w:space="0"/>
              <w:left w:val="nil"/>
              <w:bottom w:val="single" w:color="auto" w:sz="4" w:space="0"/>
              <w:right w:val="single" w:color="000000" w:sz="4" w:space="0"/>
            </w:tcBorders>
            <w:shd w:val="clear" w:color="auto" w:fill="auto"/>
            <w:noWrap/>
            <w:vAlign w:val="center"/>
          </w:tcPr>
          <w:p>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kern w:val="0"/>
                <w:sz w:val="24"/>
                <w:lang w:eastAsia="zh-CN"/>
              </w:rPr>
              <w:t>福保街道城建办</w:t>
            </w:r>
            <w:r>
              <w:rPr>
                <w:rFonts w:hint="eastAsia" w:ascii="仿宋_GB2312" w:hAnsi="仿宋_GB2312" w:eastAsia="仿宋_GB2312" w:cs="仿宋_GB2312"/>
                <w:kern w:val="0"/>
                <w:sz w:val="24"/>
              </w:rPr>
              <w:t>　</w:t>
            </w:r>
          </w:p>
        </w:tc>
        <w:tc>
          <w:tcPr>
            <w:tcW w:w="875" w:type="pct"/>
            <w:tcBorders>
              <w:top w:val="nil"/>
              <w:left w:val="nil"/>
              <w:bottom w:val="single" w:color="auto" w:sz="4" w:space="0"/>
              <w:right w:val="single" w:color="auto" w:sz="4" w:space="0"/>
            </w:tcBorders>
            <w:shd w:val="clear" w:color="auto" w:fill="auto"/>
            <w:noWrap/>
            <w:vAlign w:val="center"/>
          </w:tcPr>
          <w:p>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项目经办人</w:t>
            </w:r>
          </w:p>
        </w:tc>
        <w:tc>
          <w:tcPr>
            <w:tcW w:w="890" w:type="pct"/>
            <w:tcBorders>
              <w:top w:val="nil"/>
              <w:left w:val="nil"/>
              <w:bottom w:val="single" w:color="auto" w:sz="4" w:space="0"/>
              <w:right w:val="single" w:color="auto" w:sz="4" w:space="0"/>
            </w:tcBorders>
            <w:shd w:val="clear" w:color="auto" w:fill="auto"/>
            <w:noWrap/>
            <w:vAlign w:val="center"/>
          </w:tcPr>
          <w:p>
            <w:pPr>
              <w:widowControl/>
              <w:spacing w:line="240" w:lineRule="auto"/>
              <w:ind w:firstLine="0" w:firstLineChars="0"/>
              <w:jc w:val="left"/>
              <w:rPr>
                <w:rFonts w:hint="eastAsia" w:ascii="仿宋_GB2312" w:hAnsi="仿宋_GB2312" w:eastAsia="仿宋_GB2312" w:cs="仿宋_GB2312"/>
                <w:kern w:val="0"/>
                <w:sz w:val="24"/>
                <w:lang w:eastAsia="zh-CN"/>
              </w:rPr>
            </w:pPr>
            <w:r>
              <w:rPr>
                <w:rFonts w:hint="eastAsia" w:ascii="仿宋_GB2312" w:hAnsi="仿宋_GB2312" w:eastAsia="仿宋_GB2312" w:cs="仿宋_GB2312"/>
                <w:kern w:val="0"/>
                <w:sz w:val="24"/>
              </w:rPr>
              <w:t>　</w:t>
            </w:r>
            <w:r>
              <w:rPr>
                <w:rFonts w:hint="eastAsia" w:ascii="仿宋_GB2312" w:hAnsi="仿宋_GB2312" w:eastAsia="仿宋_GB2312" w:cs="仿宋_GB2312"/>
                <w:kern w:val="0"/>
                <w:sz w:val="24"/>
                <w:lang w:eastAsia="zh-CN"/>
              </w:rPr>
              <w:t>苏工</w:t>
            </w:r>
          </w:p>
        </w:tc>
      </w:tr>
      <w:tr>
        <w:tblPrEx>
          <w:tblCellMar>
            <w:top w:w="0" w:type="dxa"/>
            <w:left w:w="108" w:type="dxa"/>
            <w:bottom w:w="0" w:type="dxa"/>
            <w:right w:w="108" w:type="dxa"/>
          </w:tblCellMar>
        </w:tblPrEx>
        <w:trPr>
          <w:trHeight w:val="240" w:hRule="atLeast"/>
        </w:trPr>
        <w:tc>
          <w:tcPr>
            <w:tcW w:w="648" w:type="pct"/>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采购类型</w:t>
            </w:r>
          </w:p>
        </w:tc>
        <w:tc>
          <w:tcPr>
            <w:tcW w:w="1561" w:type="pct"/>
            <w:tcBorders>
              <w:top w:val="single" w:color="auto" w:sz="4" w:space="0"/>
              <w:left w:val="nil"/>
              <w:bottom w:val="single" w:color="auto" w:sz="4" w:space="0"/>
              <w:right w:val="single" w:color="auto" w:sz="4" w:space="0"/>
            </w:tcBorders>
            <w:shd w:val="clear" w:color="auto" w:fill="auto"/>
            <w:noWrap/>
            <w:vAlign w:val="center"/>
          </w:tcPr>
          <w:p>
            <w:pPr>
              <w:widowControl/>
              <w:spacing w:line="240" w:lineRule="auto"/>
              <w:ind w:firstLine="0" w:firstLineChars="0"/>
              <w:jc w:val="center"/>
              <w:rPr>
                <w:rFonts w:ascii="仿宋_GB2312" w:hAnsi="仿宋_GB2312" w:eastAsia="仿宋_GB2312" w:cs="仿宋_GB2312"/>
                <w:kern w:val="0"/>
                <w:sz w:val="24"/>
              </w:rPr>
            </w:pPr>
            <w:r>
              <w:rPr>
                <w:rFonts w:hint="eastAsia" w:ascii="仿宋_GB2312" w:hAnsi="仿宋_GB2312" w:eastAsia="仿宋_GB2312" w:cs="仿宋_GB2312"/>
                <w:b/>
                <w:bCs/>
                <w:kern w:val="0"/>
                <w:sz w:val="24"/>
              </w:rPr>
              <w:sym w:font="Wingdings 2" w:char="00A3"/>
            </w:r>
            <w:r>
              <w:rPr>
                <w:rFonts w:hint="eastAsia" w:ascii="仿宋_GB2312" w:hAnsi="仿宋_GB2312" w:eastAsia="仿宋_GB2312" w:cs="仿宋_GB2312"/>
                <w:b/>
                <w:bCs/>
                <w:kern w:val="0"/>
                <w:sz w:val="24"/>
              </w:rPr>
              <w:t>服务类</w:t>
            </w:r>
            <w:r>
              <w:rPr>
                <w:rFonts w:hint="eastAsia" w:ascii="仿宋_GB2312" w:hAnsi="仿宋_GB2312" w:eastAsia="仿宋_GB2312" w:cs="仿宋_GB2312"/>
                <w:kern w:val="0"/>
                <w:sz w:val="24"/>
              </w:rPr>
              <w:t>　</w:t>
            </w:r>
          </w:p>
          <w:p>
            <w:pPr>
              <w:widowControl/>
              <w:spacing w:line="240" w:lineRule="auto"/>
              <w:ind w:firstLine="0" w:firstLineChars="0"/>
              <w:jc w:val="center"/>
              <w:rPr>
                <w:rFonts w:ascii="仿宋_GB2312" w:hAnsi="仿宋_GB2312" w:eastAsia="仿宋_GB2312" w:cs="仿宋_GB2312"/>
                <w:kern w:val="0"/>
                <w:sz w:val="24"/>
              </w:rPr>
            </w:pPr>
            <w:r>
              <w:rPr>
                <w:rFonts w:hint="eastAsia" w:ascii="仿宋_GB2312" w:hAnsi="仿宋_GB2312" w:eastAsia="仿宋_GB2312" w:cs="仿宋_GB2312"/>
                <w:b/>
                <w:bCs/>
                <w:kern w:val="0"/>
                <w:sz w:val="24"/>
              </w:rPr>
              <w:sym w:font="Wingdings 2" w:char="0052"/>
            </w:r>
            <w:r>
              <w:rPr>
                <w:rFonts w:hint="eastAsia" w:ascii="仿宋_GB2312" w:hAnsi="仿宋_GB2312" w:eastAsia="仿宋_GB2312" w:cs="仿宋_GB2312"/>
                <w:b/>
                <w:bCs/>
                <w:kern w:val="0"/>
                <w:sz w:val="24"/>
              </w:rPr>
              <w:t>货物类</w:t>
            </w:r>
            <w:r>
              <w:rPr>
                <w:rFonts w:hint="eastAsia" w:ascii="仿宋_GB2312" w:hAnsi="仿宋_GB2312" w:eastAsia="仿宋_GB2312" w:cs="仿宋_GB2312"/>
                <w:kern w:val="0"/>
                <w:sz w:val="24"/>
              </w:rPr>
              <w:t>　</w:t>
            </w:r>
          </w:p>
          <w:p>
            <w:pPr>
              <w:widowControl/>
              <w:spacing w:line="240" w:lineRule="auto"/>
              <w:ind w:firstLine="0" w:firstLineChars="0"/>
              <w:jc w:val="center"/>
              <w:rPr>
                <w:rFonts w:ascii="仿宋_GB2312" w:hAnsi="仿宋_GB2312" w:eastAsia="仿宋_GB2312" w:cs="仿宋_GB2312"/>
                <w:kern w:val="0"/>
                <w:sz w:val="24"/>
              </w:rPr>
            </w:pPr>
            <w:r>
              <w:rPr>
                <w:rFonts w:hint="eastAsia" w:ascii="仿宋_GB2312" w:hAnsi="仿宋_GB2312" w:eastAsia="仿宋_GB2312" w:cs="仿宋_GB2312"/>
                <w:b/>
                <w:bCs/>
                <w:kern w:val="0"/>
                <w:sz w:val="24"/>
              </w:rPr>
              <w:t>□工程类</w:t>
            </w:r>
          </w:p>
        </w:tc>
        <w:tc>
          <w:tcPr>
            <w:tcW w:w="1023" w:type="pct"/>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采购方式</w:t>
            </w:r>
          </w:p>
        </w:tc>
        <w:tc>
          <w:tcPr>
            <w:tcW w:w="1765" w:type="pct"/>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240" w:lineRule="auto"/>
              <w:ind w:firstLine="0" w:firstLineChars="0"/>
              <w:jc w:val="left"/>
              <w:rPr>
                <w:rFonts w:hint="eastAsia" w:ascii="仿宋_GB2312" w:hAnsi="仿宋_GB2312" w:eastAsia="仿宋_GB2312" w:cs="仿宋_GB2312"/>
                <w:b/>
                <w:bCs/>
                <w:kern w:val="0"/>
                <w:sz w:val="24"/>
              </w:rPr>
            </w:pPr>
            <w:r>
              <w:rPr>
                <w:rFonts w:hint="eastAsia" w:ascii="仿宋_GB2312" w:hAnsi="仿宋_GB2312" w:eastAsia="仿宋_GB2312" w:cs="仿宋_GB2312"/>
                <w:b/>
                <w:bCs/>
                <w:kern w:val="0"/>
                <w:sz w:val="24"/>
              </w:rPr>
              <w:sym w:font="Wingdings 2" w:char="00A3"/>
            </w:r>
            <w:r>
              <w:rPr>
                <w:rFonts w:hint="eastAsia" w:ascii="仿宋_GB2312" w:hAnsi="仿宋_GB2312" w:eastAsia="仿宋_GB2312" w:cs="仿宋_GB2312"/>
                <w:b/>
                <w:bCs/>
                <w:kern w:val="0"/>
                <w:sz w:val="24"/>
              </w:rPr>
              <w:t>直接确定供应商（3万元以下）</w:t>
            </w:r>
          </w:p>
          <w:p>
            <w:pPr>
              <w:widowControl/>
              <w:spacing w:line="240" w:lineRule="auto"/>
              <w:ind w:firstLine="0" w:firstLineChars="0"/>
              <w:jc w:val="left"/>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sym w:font="Wingdings 2" w:char="00A3"/>
            </w:r>
            <w:r>
              <w:rPr>
                <w:rFonts w:hint="eastAsia" w:ascii="仿宋_GB2312" w:hAnsi="仿宋_GB2312" w:eastAsia="仿宋_GB2312" w:cs="仿宋_GB2312"/>
                <w:b/>
                <w:bCs/>
                <w:kern w:val="0"/>
                <w:sz w:val="24"/>
              </w:rPr>
              <w:t>询价</w:t>
            </w:r>
          </w:p>
          <w:p>
            <w:pPr>
              <w:widowControl/>
              <w:spacing w:line="240" w:lineRule="auto"/>
              <w:ind w:firstLine="0" w:firstLineChars="0"/>
              <w:jc w:val="left"/>
              <w:rPr>
                <w:rFonts w:hint="eastAsia" w:ascii="仿宋_GB2312" w:hAnsi="仿宋_GB2312" w:eastAsia="仿宋_GB2312" w:cs="仿宋_GB2312"/>
                <w:b/>
                <w:bCs/>
                <w:kern w:val="0"/>
                <w:sz w:val="24"/>
              </w:rPr>
            </w:pPr>
            <w:r>
              <w:rPr>
                <w:rFonts w:hint="eastAsia" w:ascii="仿宋_GB2312" w:hAnsi="仿宋_GB2312" w:eastAsia="仿宋_GB2312" w:cs="仿宋_GB2312"/>
                <w:b/>
                <w:bCs/>
                <w:kern w:val="0"/>
                <w:sz w:val="24"/>
              </w:rPr>
              <w:sym w:font="Wingdings 2" w:char="00A3"/>
            </w:r>
            <w:r>
              <w:rPr>
                <w:rFonts w:hint="eastAsia" w:ascii="仿宋_GB2312" w:hAnsi="仿宋_GB2312" w:eastAsia="仿宋_GB2312" w:cs="仿宋_GB2312"/>
                <w:b/>
                <w:bCs/>
                <w:kern w:val="0"/>
                <w:sz w:val="24"/>
              </w:rPr>
              <w:t xml:space="preserve">直接确定供应商（特殊） </w:t>
            </w:r>
          </w:p>
          <w:p>
            <w:pPr>
              <w:widowControl/>
              <w:spacing w:line="240" w:lineRule="auto"/>
              <w:ind w:firstLine="0" w:firstLineChars="0"/>
              <w:jc w:val="left"/>
              <w:rPr>
                <w:rFonts w:ascii="仿宋_GB2312" w:hAnsi="仿宋_GB2312" w:eastAsia="仿宋_GB2312" w:cs="仿宋_GB2312"/>
                <w:kern w:val="0"/>
                <w:sz w:val="24"/>
              </w:rPr>
            </w:pPr>
            <w:r>
              <w:rPr>
                <w:rFonts w:hint="eastAsia" w:ascii="仿宋_GB2312" w:hAnsi="仿宋_GB2312" w:eastAsia="仿宋_GB2312" w:cs="仿宋_GB2312"/>
                <w:b/>
                <w:bCs/>
                <w:kern w:val="0"/>
                <w:sz w:val="24"/>
              </w:rPr>
              <w:sym w:font="Wingdings 2" w:char="0052"/>
            </w:r>
            <w:r>
              <w:rPr>
                <w:rFonts w:hint="eastAsia" w:ascii="仿宋_GB2312" w:hAnsi="仿宋_GB2312" w:eastAsia="仿宋_GB2312" w:cs="仿宋_GB2312"/>
                <w:b/>
                <w:bCs/>
                <w:kern w:val="0"/>
                <w:sz w:val="24"/>
              </w:rPr>
              <w:t>比价谈判</w:t>
            </w:r>
          </w:p>
        </w:tc>
      </w:tr>
      <w:tr>
        <w:tblPrEx>
          <w:tblCellMar>
            <w:top w:w="0" w:type="dxa"/>
            <w:left w:w="108" w:type="dxa"/>
            <w:bottom w:w="0" w:type="dxa"/>
            <w:right w:w="108" w:type="dxa"/>
          </w:tblCellMar>
        </w:tblPrEx>
        <w:trPr>
          <w:trHeight w:val="680" w:hRule="atLeast"/>
        </w:trPr>
        <w:tc>
          <w:tcPr>
            <w:tcW w:w="648" w:type="pct"/>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项目背景</w:t>
            </w:r>
          </w:p>
        </w:tc>
        <w:tc>
          <w:tcPr>
            <w:tcW w:w="4351" w:type="pct"/>
            <w:gridSpan w:val="4"/>
            <w:tcBorders>
              <w:top w:val="single" w:color="auto" w:sz="4" w:space="0"/>
              <w:left w:val="nil"/>
              <w:bottom w:val="single" w:color="auto" w:sz="4" w:space="0"/>
              <w:right w:val="single" w:color="auto" w:sz="4" w:space="0"/>
            </w:tcBorders>
          </w:tcPr>
          <w:p>
            <w:pPr>
              <w:widowControl/>
              <w:spacing w:line="240" w:lineRule="auto"/>
              <w:ind w:firstLine="0" w:firstLineChars="0"/>
              <w:jc w:val="left"/>
              <w:rPr>
                <w:rFonts w:hint="eastAsia" w:ascii="仿宋_GB2312" w:hAnsi="仿宋_GB2312" w:eastAsia="仿宋_GB2312" w:cs="仿宋_GB2312"/>
                <w:kern w:val="0"/>
                <w:sz w:val="24"/>
                <w:lang w:eastAsia="zh-CN"/>
              </w:rPr>
            </w:pPr>
            <w:r>
              <w:rPr>
                <w:rFonts w:hint="eastAsia" w:ascii="仿宋_GB2312" w:hAnsi="仿宋_GB2312" w:eastAsia="仿宋_GB2312" w:cs="仿宋_GB2312"/>
                <w:kern w:val="0"/>
                <w:sz w:val="24"/>
                <w:lang w:eastAsia="zh-CN"/>
              </w:rPr>
              <w:t>为搭建国际人才综合服务平台，建设多元优质的国际化高品质生活配套设施，打造国际化高品质的科研生活社区，福保街道正开展粤港澳大湾区国际人才驿站建设工程，对福田区市花路</w:t>
            </w:r>
            <w:r>
              <w:rPr>
                <w:rFonts w:hint="eastAsia" w:ascii="仿宋_GB2312" w:hAnsi="仿宋_GB2312" w:eastAsia="仿宋_GB2312" w:cs="仿宋_GB2312"/>
                <w:kern w:val="0"/>
                <w:sz w:val="24"/>
                <w:lang w:val="en-US" w:eastAsia="zh-CN"/>
              </w:rPr>
              <w:t>5号长富经贸大厦二层进行改造建设，建筑面积1853.44平方米。根据项目建设情况，现需要采购一批家具、标识标牌，根据现场实际情况进行改造。</w:t>
            </w:r>
          </w:p>
        </w:tc>
      </w:tr>
      <w:tr>
        <w:tblPrEx>
          <w:tblCellMar>
            <w:top w:w="0" w:type="dxa"/>
            <w:left w:w="108" w:type="dxa"/>
            <w:bottom w:w="0" w:type="dxa"/>
            <w:right w:w="108" w:type="dxa"/>
          </w:tblCellMar>
        </w:tblPrEx>
        <w:trPr>
          <w:trHeight w:val="2609" w:hRule="atLeast"/>
        </w:trPr>
        <w:tc>
          <w:tcPr>
            <w:tcW w:w="648" w:type="pct"/>
            <w:vMerge w:val="restart"/>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项目需求</w:t>
            </w:r>
          </w:p>
        </w:tc>
        <w:tc>
          <w:tcPr>
            <w:tcW w:w="4351" w:type="pct"/>
            <w:gridSpan w:val="4"/>
            <w:tcBorders>
              <w:top w:val="single" w:color="auto" w:sz="4" w:space="0"/>
              <w:left w:val="nil"/>
              <w:bottom w:val="single" w:color="auto" w:sz="4" w:space="0"/>
              <w:right w:val="single" w:color="auto" w:sz="4" w:space="0"/>
            </w:tcBorders>
          </w:tcPr>
          <w:p>
            <w:pPr>
              <w:widowControl/>
              <w:spacing w:line="240" w:lineRule="auto"/>
              <w:ind w:firstLine="0" w:firstLineChars="0"/>
              <w:jc w:val="left"/>
              <w:rPr>
                <w:rFonts w:hint="eastAsia" w:ascii="仿宋_GB2312" w:hAnsi="仿宋_GB2312" w:eastAsia="仿宋_GB2312" w:cs="仿宋_GB2312"/>
                <w:kern w:val="0"/>
                <w:sz w:val="24"/>
                <w:lang w:val="en-US" w:eastAsia="zh-CN"/>
              </w:rPr>
            </w:pPr>
            <w:r>
              <w:rPr>
                <w:rFonts w:hint="eastAsia" w:ascii="仿宋_GB2312" w:hAnsi="仿宋_GB2312" w:eastAsia="仿宋_GB2312" w:cs="仿宋_GB2312"/>
                <w:kern w:val="0"/>
                <w:sz w:val="24"/>
                <w:lang w:val="en-US" w:eastAsia="zh-CN"/>
              </w:rPr>
              <w:t>项目采购内容：</w:t>
            </w:r>
          </w:p>
          <w:p>
            <w:pPr>
              <w:widowControl/>
              <w:spacing w:line="240" w:lineRule="auto"/>
              <w:ind w:firstLine="0" w:firstLineChars="0"/>
              <w:jc w:val="left"/>
              <w:rPr>
                <w:rFonts w:hint="eastAsia" w:ascii="仿宋_GB2312" w:hAnsi="仿宋_GB2312" w:eastAsia="仿宋_GB2312" w:cs="仿宋_GB2312"/>
                <w:kern w:val="0"/>
                <w:sz w:val="24"/>
                <w:lang w:val="en-US" w:eastAsia="zh-CN"/>
              </w:rPr>
            </w:pPr>
            <w:r>
              <w:rPr>
                <w:rFonts w:hint="eastAsia" w:ascii="仿宋_GB2312" w:hAnsi="仿宋_GB2312" w:eastAsia="仿宋_GB2312" w:cs="仿宋_GB2312"/>
                <w:kern w:val="0"/>
                <w:sz w:val="24"/>
                <w:lang w:val="en-US" w:eastAsia="zh-CN"/>
              </w:rPr>
              <w:t>1.家具家私：包括茶几、单人沙发、凳子、服务台、高柜、会议桌、活动柜、三人沙发、椅子、桌子等。</w:t>
            </w:r>
          </w:p>
          <w:p>
            <w:pPr>
              <w:widowControl/>
              <w:spacing w:line="240" w:lineRule="auto"/>
              <w:ind w:firstLine="0" w:firstLineChars="0"/>
              <w:jc w:val="left"/>
              <w:rPr>
                <w:rFonts w:hint="default" w:ascii="仿宋_GB2312" w:hAnsi="仿宋_GB2312" w:eastAsia="仿宋_GB2312" w:cs="仿宋_GB2312"/>
                <w:kern w:val="0"/>
                <w:sz w:val="24"/>
                <w:lang w:val="en-US" w:eastAsia="zh-CN"/>
              </w:rPr>
            </w:pPr>
            <w:r>
              <w:rPr>
                <w:rFonts w:hint="eastAsia" w:ascii="仿宋_GB2312" w:hAnsi="仿宋_GB2312" w:eastAsia="仿宋_GB2312" w:cs="仿宋_GB2312"/>
                <w:kern w:val="0"/>
                <w:sz w:val="24"/>
                <w:lang w:val="en-US" w:eastAsia="zh-CN"/>
              </w:rPr>
              <w:t>2.标识标牌：沙钢金属字、电梯贴、导视、宣传贴牌、吊牌、门牌、立牌、立体字、亚克力发光灯箱展示墙、粤港澳大湾区人才驿站标识牌（挂）、粤港澳大湾区人才驿站标识牌（立）、标识牌、展示台、发光灯箱、标示贴、河套福保园区党群服务中心标识牌（挂）、宣传墙等。</w:t>
            </w:r>
          </w:p>
          <w:p>
            <w:pPr>
              <w:widowControl/>
              <w:spacing w:line="240" w:lineRule="auto"/>
              <w:ind w:firstLine="0" w:firstLineChars="0"/>
              <w:jc w:val="left"/>
              <w:rPr>
                <w:rFonts w:hint="default" w:cs="仿宋_GB2312"/>
                <w:kern w:val="0"/>
                <w:sz w:val="24"/>
                <w:lang w:val="en-US" w:eastAsia="zh-CN"/>
              </w:rPr>
            </w:pPr>
            <w:r>
              <w:rPr>
                <w:rFonts w:hint="eastAsia" w:ascii="仿宋_GB2312" w:hAnsi="仿宋_GB2312" w:eastAsia="仿宋_GB2312" w:cs="仿宋_GB2312"/>
                <w:kern w:val="0"/>
                <w:sz w:val="24"/>
                <w:lang w:val="en-US" w:eastAsia="zh-CN"/>
              </w:rPr>
              <w:t>3.</w:t>
            </w:r>
            <w:r>
              <w:rPr>
                <w:rFonts w:hint="eastAsia" w:ascii="仿宋_GB2312" w:hAnsi="仿宋_GB2312" w:eastAsia="仿宋_GB2312" w:cs="仿宋_GB2312"/>
                <w:b/>
                <w:bCs/>
                <w:kern w:val="0"/>
                <w:sz w:val="24"/>
                <w:lang w:val="en-US" w:eastAsia="zh-CN"/>
              </w:rPr>
              <w:t>具体需求和数量详见附件清单。</w:t>
            </w:r>
          </w:p>
        </w:tc>
      </w:tr>
      <w:tr>
        <w:tblPrEx>
          <w:tblCellMar>
            <w:top w:w="0" w:type="dxa"/>
            <w:left w:w="108" w:type="dxa"/>
            <w:bottom w:w="0" w:type="dxa"/>
            <w:right w:w="108" w:type="dxa"/>
          </w:tblCellMar>
        </w:tblPrEx>
        <w:trPr>
          <w:trHeight w:val="1750" w:hRule="atLeast"/>
        </w:trPr>
        <w:tc>
          <w:tcPr>
            <w:tcW w:w="648" w:type="pct"/>
            <w:vMerge w:val="continue"/>
            <w:tcBorders>
              <w:top w:val="nil"/>
              <w:left w:val="single" w:color="auto" w:sz="4" w:space="0"/>
              <w:bottom w:val="single" w:color="auto" w:sz="4" w:space="0"/>
              <w:right w:val="single" w:color="auto" w:sz="4" w:space="0"/>
            </w:tcBorders>
            <w:vAlign w:val="center"/>
          </w:tcPr>
          <w:p>
            <w:pPr>
              <w:widowControl/>
              <w:spacing w:line="240" w:lineRule="auto"/>
              <w:ind w:firstLine="0" w:firstLineChars="0"/>
              <w:jc w:val="center"/>
              <w:rPr>
                <w:rFonts w:ascii="仿宋_GB2312" w:hAnsi="仿宋_GB2312" w:eastAsia="仿宋_GB2312" w:cs="仿宋_GB2312"/>
                <w:kern w:val="0"/>
                <w:sz w:val="24"/>
              </w:rPr>
            </w:pPr>
          </w:p>
        </w:tc>
        <w:tc>
          <w:tcPr>
            <w:tcW w:w="4351" w:type="pct"/>
            <w:gridSpan w:val="4"/>
            <w:tcBorders>
              <w:top w:val="single" w:color="auto" w:sz="4" w:space="0"/>
              <w:left w:val="nil"/>
              <w:bottom w:val="single" w:color="auto" w:sz="4" w:space="0"/>
              <w:right w:val="single" w:color="auto" w:sz="4" w:space="0"/>
            </w:tcBorders>
          </w:tcPr>
          <w:p>
            <w:pPr>
              <w:widowControl/>
              <w:spacing w:line="240" w:lineRule="auto"/>
              <w:ind w:firstLine="0" w:firstLineChars="0"/>
              <w:jc w:val="left"/>
              <w:rPr>
                <w:rFonts w:ascii="仿宋_GB2312" w:hAnsi="仿宋_GB2312" w:eastAsia="仿宋_GB2312" w:cs="仿宋_GB2312"/>
                <w:kern w:val="0"/>
                <w:sz w:val="24"/>
              </w:rPr>
            </w:pPr>
            <w:r>
              <w:rPr>
                <w:rFonts w:hint="eastAsia" w:ascii="仿宋_GB2312" w:hAnsi="仿宋_GB2312" w:eastAsia="仿宋_GB2312" w:cs="仿宋_GB2312"/>
                <w:kern w:val="0"/>
                <w:sz w:val="24"/>
              </w:rPr>
              <w:t>项目商务要求：</w:t>
            </w:r>
          </w:p>
          <w:p>
            <w:pPr>
              <w:widowControl/>
              <w:numPr>
                <w:ilvl w:val="0"/>
                <w:numId w:val="0"/>
              </w:numPr>
              <w:spacing w:line="240" w:lineRule="auto"/>
              <w:jc w:val="left"/>
              <w:rPr>
                <w:rFonts w:hint="default"/>
                <w:lang w:val="en-US" w:eastAsia="zh-CN"/>
              </w:rPr>
            </w:pPr>
            <w:r>
              <w:rPr>
                <w:rFonts w:hint="eastAsia" w:ascii="仿宋_GB2312" w:hAnsi="仿宋_GB2312" w:eastAsia="仿宋_GB2312" w:cs="仿宋_GB2312"/>
                <w:kern w:val="0"/>
                <w:sz w:val="24"/>
                <w:lang w:val="en-US" w:eastAsia="zh-CN"/>
              </w:rPr>
              <w:t>1.服务期限：自合同签订之日起至工程竣工验收为止（具体交付日期以甲方通知为准）。</w:t>
            </w:r>
          </w:p>
          <w:p>
            <w:pPr>
              <w:pStyle w:val="3"/>
              <w:ind w:left="0" w:leftChars="0" w:firstLine="0" w:firstLineChars="0"/>
              <w:rPr>
                <w:rFonts w:hint="default"/>
                <w:lang w:val="en-US" w:eastAsia="zh-CN"/>
              </w:rPr>
            </w:pPr>
            <w:r>
              <w:rPr>
                <w:rFonts w:hint="eastAsia" w:cs="仿宋_GB2312"/>
                <w:kern w:val="0"/>
                <w:sz w:val="24"/>
                <w:lang w:val="en-US" w:eastAsia="zh-CN"/>
              </w:rPr>
              <w:t>2.家具、标识标牌由中标供应商负责配送至指定地点，并完成安装，</w:t>
            </w:r>
            <w:r>
              <w:rPr>
                <w:rFonts w:hint="eastAsia" w:ascii="仿宋_GB2312" w:hAnsi="仿宋_GB2312" w:eastAsia="仿宋_GB2312" w:cs="仿宋_GB2312"/>
                <w:kern w:val="0"/>
                <w:sz w:val="24"/>
                <w:lang w:val="en-US" w:eastAsia="zh-CN"/>
              </w:rPr>
              <w:t>具体交付日期以甲方通知为准</w:t>
            </w:r>
            <w:r>
              <w:rPr>
                <w:rFonts w:hint="eastAsia" w:cs="仿宋_GB2312"/>
                <w:kern w:val="0"/>
                <w:sz w:val="24"/>
                <w:lang w:val="en-US" w:eastAsia="zh-CN"/>
              </w:rPr>
              <w:t>；安装辅助材料、部分原墙面广告拆除及修复及物料布置加装等由中标供应商自行负责。</w:t>
            </w:r>
          </w:p>
          <w:p>
            <w:pPr>
              <w:widowControl/>
              <w:spacing w:line="240" w:lineRule="auto"/>
              <w:ind w:firstLine="0" w:firstLineChars="0"/>
              <w:jc w:val="left"/>
              <w:rPr>
                <w:rFonts w:hint="eastAsia" w:ascii="仿宋_GB2312" w:hAnsi="仿宋_GB2312" w:eastAsia="仿宋_GB2312" w:cs="仿宋_GB2312"/>
                <w:kern w:val="0"/>
                <w:sz w:val="24"/>
                <w:lang w:val="en-US" w:eastAsia="zh-CN"/>
              </w:rPr>
            </w:pPr>
            <w:r>
              <w:rPr>
                <w:rFonts w:hint="eastAsia" w:ascii="仿宋_GB2312" w:hAnsi="仿宋_GB2312" w:eastAsia="仿宋_GB2312" w:cs="仿宋_GB2312"/>
                <w:kern w:val="0"/>
                <w:sz w:val="24"/>
                <w:szCs w:val="32"/>
                <w:lang w:val="en-US" w:eastAsia="zh-CN" w:bidi="zh-CN"/>
              </w:rPr>
              <w:t>3.</w:t>
            </w:r>
            <w:r>
              <w:rPr>
                <w:rFonts w:hint="eastAsia" w:ascii="仿宋_GB2312" w:hAnsi="仿宋_GB2312" w:eastAsia="仿宋_GB2312" w:cs="仿宋_GB2312"/>
                <w:kern w:val="0"/>
                <w:sz w:val="24"/>
              </w:rPr>
              <w:t>付款方式：分期付款，每次支付款项中标供应商需提供符合规定的发票。项目验收合格后，支付至暂定合同价（现场实际交货部分的）90%</w:t>
            </w:r>
            <w:r>
              <w:rPr>
                <w:rFonts w:hint="eastAsia" w:ascii="仿宋_GB2312" w:hAnsi="仿宋_GB2312" w:eastAsia="仿宋_GB2312" w:cs="仿宋_GB2312"/>
                <w:kern w:val="0"/>
                <w:sz w:val="24"/>
                <w:lang w:val="en-US" w:eastAsia="zh-CN"/>
              </w:rPr>
              <w:t>；待完成结算后，支付至结算价100%；</w:t>
            </w:r>
          </w:p>
          <w:p>
            <w:pPr>
              <w:widowControl/>
              <w:spacing w:line="240" w:lineRule="auto"/>
              <w:ind w:firstLine="0" w:firstLineChars="0"/>
              <w:jc w:val="left"/>
              <w:rPr>
                <w:rFonts w:hint="eastAsia" w:ascii="仿宋_GB2312" w:hAnsi="仿宋_GB2312" w:eastAsia="仿宋_GB2312" w:cs="仿宋_GB2312"/>
                <w:kern w:val="0"/>
                <w:sz w:val="24"/>
              </w:rPr>
            </w:pPr>
            <w:r>
              <w:rPr>
                <w:rFonts w:hint="eastAsia" w:ascii="仿宋_GB2312" w:hAnsi="仿宋_GB2312" w:eastAsia="仿宋_GB2312" w:cs="仿宋_GB2312"/>
                <w:kern w:val="0"/>
                <w:sz w:val="24"/>
                <w:lang w:val="en-US" w:eastAsia="zh-CN"/>
              </w:rPr>
              <w:t>如本项目后期被政府相关部门抽查审核的， 最终结算金额以政府相关部门核查确定的结算价或按照政府相关部门核查意见调整后的结算价款为准， 超出部分应返还。</w:t>
            </w:r>
          </w:p>
          <w:p>
            <w:pPr>
              <w:pStyle w:val="3"/>
              <w:ind w:left="0" w:leftChars="0" w:firstLine="0" w:firstLineChars="0"/>
              <w:rPr>
                <w:rFonts w:hint="eastAsia" w:cs="仿宋_GB2312"/>
                <w:kern w:val="0"/>
                <w:sz w:val="24"/>
                <w:lang w:val="en-US" w:eastAsia="zh-CN"/>
              </w:rPr>
            </w:pPr>
            <w:r>
              <w:rPr>
                <w:rFonts w:hint="eastAsia" w:cs="仿宋_GB2312"/>
                <w:kern w:val="0"/>
                <w:sz w:val="24"/>
                <w:lang w:val="en-US" w:eastAsia="zh-CN"/>
              </w:rPr>
              <w:t>4.报价要求：</w:t>
            </w:r>
          </w:p>
          <w:p>
            <w:pPr>
              <w:pStyle w:val="3"/>
              <w:ind w:left="0" w:leftChars="0" w:firstLine="0" w:firstLineChars="0"/>
              <w:rPr>
                <w:rFonts w:hint="eastAsia" w:cs="仿宋_GB2312"/>
                <w:kern w:val="0"/>
                <w:sz w:val="24"/>
                <w:lang w:val="en-US" w:eastAsia="zh-CN"/>
              </w:rPr>
            </w:pPr>
            <w:r>
              <w:rPr>
                <w:rFonts w:hint="eastAsia" w:cs="仿宋_GB2312"/>
                <w:kern w:val="0"/>
                <w:sz w:val="24"/>
                <w:lang w:val="en-US" w:eastAsia="zh-CN"/>
              </w:rPr>
              <w:t>(1)本项目的家具和标识标牌清单需按单价方式进行报价，</w:t>
            </w:r>
            <w:r>
              <w:rPr>
                <w:rFonts w:hint="eastAsia" w:cs="仿宋_GB2312"/>
                <w:b/>
                <w:bCs/>
                <w:kern w:val="0"/>
                <w:sz w:val="24"/>
                <w:lang w:val="en-US" w:eastAsia="zh-CN"/>
              </w:rPr>
              <w:t>家具部分总报价不超过25万元，标识标牌部分报价不超过10万元，总计报价不超过35万元</w:t>
            </w:r>
            <w:r>
              <w:rPr>
                <w:rFonts w:hint="eastAsia" w:cs="仿宋_GB2312"/>
                <w:kern w:val="0"/>
                <w:sz w:val="24"/>
                <w:lang w:val="en-US" w:eastAsia="zh-CN"/>
              </w:rPr>
              <w:t>；</w:t>
            </w:r>
          </w:p>
          <w:p>
            <w:pPr>
              <w:pStyle w:val="3"/>
              <w:ind w:left="0" w:leftChars="0" w:firstLine="0" w:firstLineChars="0"/>
              <w:rPr>
                <w:rFonts w:hint="eastAsia" w:cs="仿宋_GB2312"/>
                <w:kern w:val="0"/>
                <w:sz w:val="24"/>
                <w:lang w:val="en-US" w:eastAsia="zh-CN"/>
              </w:rPr>
            </w:pPr>
            <w:r>
              <w:rPr>
                <w:rFonts w:hint="eastAsia" w:cs="仿宋_GB2312"/>
                <w:kern w:val="0"/>
                <w:sz w:val="24"/>
                <w:lang w:val="en-US" w:eastAsia="zh-CN"/>
              </w:rPr>
              <w:t>(2)报价需按要求列明材质、基本参数和价格等。</w:t>
            </w:r>
          </w:p>
          <w:p>
            <w:pPr>
              <w:rPr>
                <w:rFonts w:hint="default"/>
                <w:lang w:val="en-US" w:eastAsia="zh-CN"/>
              </w:rPr>
            </w:pPr>
            <w:r>
              <w:rPr>
                <w:rFonts w:hint="eastAsia" w:ascii="仿宋_GB2312" w:hAnsi="仿宋_GB2312" w:eastAsia="仿宋_GB2312" w:cs="仿宋_GB2312"/>
                <w:b/>
                <w:bCs/>
                <w:kern w:val="0"/>
                <w:sz w:val="24"/>
                <w:lang w:val="en-US" w:eastAsia="zh-CN"/>
              </w:rPr>
              <w:t>5.中标金额为合同暂定价，最终金额以结算审核报告的费用为准</w:t>
            </w:r>
            <w:r>
              <w:rPr>
                <w:rFonts w:hint="eastAsia" w:ascii="仿宋_GB2312" w:hAnsi="仿宋_GB2312" w:eastAsia="仿宋_GB2312" w:cs="仿宋_GB2312"/>
                <w:kern w:val="0"/>
                <w:sz w:val="24"/>
                <w:lang w:val="en-US" w:eastAsia="zh-CN"/>
              </w:rPr>
              <w:t>。</w:t>
            </w:r>
          </w:p>
        </w:tc>
      </w:tr>
      <w:tr>
        <w:tblPrEx>
          <w:tblCellMar>
            <w:top w:w="0" w:type="dxa"/>
            <w:left w:w="108" w:type="dxa"/>
            <w:bottom w:w="0" w:type="dxa"/>
            <w:right w:w="108" w:type="dxa"/>
          </w:tblCellMar>
        </w:tblPrEx>
        <w:trPr>
          <w:trHeight w:val="1430" w:hRule="atLeast"/>
        </w:trPr>
        <w:tc>
          <w:tcPr>
            <w:tcW w:w="648" w:type="pct"/>
            <w:tcBorders>
              <w:top w:val="nil"/>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投标人资质要求</w:t>
            </w:r>
          </w:p>
        </w:tc>
        <w:tc>
          <w:tcPr>
            <w:tcW w:w="4351" w:type="pct"/>
            <w:gridSpan w:val="4"/>
            <w:tcBorders>
              <w:top w:val="single" w:color="auto" w:sz="4" w:space="0"/>
              <w:left w:val="nil"/>
              <w:bottom w:val="single" w:color="auto" w:sz="4" w:space="0"/>
              <w:right w:val="single" w:color="auto" w:sz="4" w:space="0"/>
            </w:tcBorders>
          </w:tcPr>
          <w:p>
            <w:pPr>
              <w:widowControl/>
              <w:spacing w:line="240" w:lineRule="auto"/>
              <w:ind w:firstLine="0" w:firstLineChars="0"/>
              <w:jc w:val="left"/>
              <w:rPr>
                <w:rFonts w:ascii="仿宋_GB2312" w:hAnsi="仿宋_GB2312" w:eastAsia="仿宋_GB2312" w:cs="仿宋_GB2312"/>
                <w:kern w:val="0"/>
                <w:sz w:val="24"/>
              </w:rPr>
            </w:pPr>
            <w:r>
              <w:rPr>
                <w:rFonts w:hint="eastAsia" w:ascii="仿宋_GB2312" w:hAnsi="仿宋_GB2312" w:eastAsia="仿宋_GB2312" w:cs="仿宋_GB2312"/>
                <w:kern w:val="0"/>
                <w:sz w:val="24"/>
              </w:rPr>
              <w:t>1.具有独立法人资格或具有独立承担民事责任的能力的其它组织（提供营业执照或事业单位法人证等法人证明扫描件，原件备查）。</w:t>
            </w:r>
          </w:p>
          <w:p>
            <w:pPr>
              <w:widowControl/>
              <w:spacing w:line="240" w:lineRule="auto"/>
              <w:ind w:firstLine="0" w:firstLineChars="0"/>
              <w:jc w:val="left"/>
              <w:rPr>
                <w:rFonts w:ascii="仿宋_GB2312" w:hAnsi="仿宋_GB2312" w:eastAsia="仿宋_GB2312" w:cs="仿宋_GB2312"/>
                <w:kern w:val="0"/>
                <w:sz w:val="24"/>
              </w:rPr>
            </w:pPr>
            <w:r>
              <w:rPr>
                <w:rFonts w:hint="eastAsia" w:ascii="仿宋_GB2312" w:hAnsi="仿宋_GB2312" w:eastAsia="仿宋_GB2312" w:cs="仿宋_GB2312"/>
                <w:kern w:val="0"/>
                <w:sz w:val="24"/>
              </w:rPr>
              <w:t>2.本项目不接受联合体投标。</w:t>
            </w:r>
          </w:p>
          <w:p>
            <w:pPr>
              <w:widowControl/>
              <w:spacing w:line="240" w:lineRule="auto"/>
              <w:ind w:firstLine="0" w:firstLineChars="0"/>
              <w:jc w:val="left"/>
              <w:rPr>
                <w:rFonts w:ascii="仿宋_GB2312" w:hAnsi="仿宋_GB2312" w:eastAsia="仿宋_GB2312" w:cs="仿宋_GB2312"/>
                <w:kern w:val="0"/>
                <w:sz w:val="24"/>
              </w:rPr>
            </w:pPr>
            <w:r>
              <w:rPr>
                <w:rFonts w:hint="eastAsia" w:ascii="仿宋_GB2312" w:hAnsi="仿宋_GB2312" w:eastAsia="仿宋_GB2312" w:cs="仿宋_GB2312"/>
                <w:kern w:val="0"/>
                <w:sz w:val="24"/>
              </w:rPr>
              <w:t>3.参与本项目投标前三年内，在经营活动中没有重大违法记录；参与本项目政府采购活动时不存在被有关部门禁止参与政府采购活动且在有效期内的情况；具备《中华人民共和国政府采购法》第二十二条第一款的条件；参与政府采购项目投标的供应商未被列入失信被执行人、重大税收违法案件当事人名单、政府采购严重违法失信行为记录名单。</w:t>
            </w:r>
          </w:p>
        </w:tc>
      </w:tr>
      <w:tr>
        <w:tblPrEx>
          <w:tblCellMar>
            <w:top w:w="0" w:type="dxa"/>
            <w:left w:w="108" w:type="dxa"/>
            <w:bottom w:w="0" w:type="dxa"/>
            <w:right w:w="108" w:type="dxa"/>
          </w:tblCellMar>
        </w:tblPrEx>
        <w:trPr>
          <w:trHeight w:val="1270" w:hRule="atLeast"/>
        </w:trPr>
        <w:tc>
          <w:tcPr>
            <w:tcW w:w="648" w:type="pct"/>
            <w:tcBorders>
              <w:top w:val="nil"/>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投标人需提供资料</w:t>
            </w:r>
          </w:p>
        </w:tc>
        <w:tc>
          <w:tcPr>
            <w:tcW w:w="4351" w:type="pct"/>
            <w:gridSpan w:val="4"/>
            <w:tcBorders>
              <w:top w:val="single" w:color="auto" w:sz="4" w:space="0"/>
              <w:left w:val="nil"/>
              <w:bottom w:val="single" w:color="auto" w:sz="4" w:space="0"/>
              <w:right w:val="single" w:color="auto" w:sz="4" w:space="0"/>
            </w:tcBorders>
          </w:tcPr>
          <w:p>
            <w:pPr>
              <w:widowControl/>
              <w:spacing w:line="240" w:lineRule="auto"/>
              <w:ind w:firstLine="0" w:firstLineChars="0"/>
              <w:jc w:val="left"/>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1、公司简介、概况等材料；营业执照、经营范围等相关资质复印件；</w:t>
            </w:r>
          </w:p>
          <w:p>
            <w:pPr>
              <w:widowControl/>
              <w:spacing w:line="240" w:lineRule="auto"/>
              <w:ind w:firstLine="0" w:firstLineChars="0"/>
              <w:jc w:val="left"/>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2、投标报价单（包含</w:t>
            </w:r>
            <w:r>
              <w:rPr>
                <w:rFonts w:hint="eastAsia" w:ascii="仿宋_GB2312" w:hAnsi="仿宋_GB2312" w:eastAsia="仿宋_GB2312" w:cs="仿宋_GB2312"/>
                <w:kern w:val="0"/>
                <w:sz w:val="24"/>
                <w:lang w:eastAsia="zh-CN"/>
              </w:rPr>
              <w:t>材质、基本参数、价格等</w:t>
            </w:r>
            <w:r>
              <w:rPr>
                <w:rFonts w:hint="eastAsia" w:ascii="仿宋_GB2312" w:hAnsi="仿宋_GB2312" w:eastAsia="仿宋_GB2312" w:cs="仿宋_GB2312"/>
                <w:kern w:val="0"/>
                <w:sz w:val="24"/>
              </w:rPr>
              <w:t>）；</w:t>
            </w:r>
          </w:p>
          <w:p>
            <w:pPr>
              <w:widowControl/>
              <w:spacing w:line="240" w:lineRule="auto"/>
              <w:ind w:firstLine="0" w:firstLineChars="0"/>
              <w:jc w:val="left"/>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3、对此项目提供详细的服务方案</w:t>
            </w:r>
            <w:r>
              <w:rPr>
                <w:rFonts w:hint="eastAsia" w:ascii="仿宋_GB2312" w:hAnsi="仿宋_GB2312" w:eastAsia="仿宋_GB2312" w:cs="仿宋_GB2312"/>
                <w:kern w:val="0"/>
                <w:sz w:val="24"/>
                <w:lang w:eastAsia="zh-CN"/>
              </w:rPr>
              <w:t>（售后服务或技术服务等相关方案）</w:t>
            </w:r>
            <w:r>
              <w:rPr>
                <w:rFonts w:hint="eastAsia" w:ascii="仿宋_GB2312" w:hAnsi="仿宋_GB2312" w:eastAsia="仿宋_GB2312" w:cs="仿宋_GB2312"/>
                <w:kern w:val="0"/>
                <w:sz w:val="24"/>
              </w:rPr>
              <w:t>；</w:t>
            </w:r>
          </w:p>
          <w:p>
            <w:pPr>
              <w:widowControl/>
              <w:spacing w:line="240" w:lineRule="auto"/>
              <w:ind w:firstLine="0" w:firstLineChars="0"/>
              <w:jc w:val="left"/>
              <w:rPr>
                <w:rFonts w:hint="eastAsia" w:ascii="仿宋_GB2312" w:hAnsi="仿宋_GB2312" w:eastAsia="仿宋_GB2312" w:cs="仿宋_GB2312"/>
                <w:kern w:val="0"/>
                <w:sz w:val="24"/>
              </w:rPr>
            </w:pPr>
            <w:r>
              <w:rPr>
                <w:rFonts w:hint="eastAsia" w:ascii="仿宋_GB2312" w:hAnsi="仿宋_GB2312" w:eastAsia="仿宋_GB2312" w:cs="仿宋_GB2312"/>
                <w:kern w:val="0"/>
                <w:sz w:val="24"/>
                <w:lang w:val="en-US" w:eastAsia="zh-CN"/>
              </w:rPr>
              <w:t>4</w:t>
            </w:r>
            <w:r>
              <w:rPr>
                <w:rFonts w:hint="eastAsia" w:ascii="仿宋_GB2312" w:hAnsi="仿宋_GB2312" w:eastAsia="仿宋_GB2312" w:cs="仿宋_GB2312"/>
                <w:kern w:val="0"/>
                <w:sz w:val="24"/>
              </w:rPr>
              <w:t>、</w:t>
            </w:r>
            <w:r>
              <w:rPr>
                <w:rFonts w:hint="eastAsia" w:ascii="仿宋_GB2312" w:hAnsi="仿宋_GB2312" w:eastAsia="仿宋_GB2312" w:cs="仿宋_GB2312"/>
                <w:kern w:val="0"/>
                <w:sz w:val="24"/>
                <w:lang w:eastAsia="zh-CN"/>
              </w:rPr>
              <w:t>同类项目</w:t>
            </w:r>
            <w:r>
              <w:rPr>
                <w:rFonts w:hint="eastAsia" w:ascii="仿宋_GB2312" w:hAnsi="仿宋_GB2312" w:eastAsia="仿宋_GB2312" w:cs="仿宋_GB2312"/>
                <w:kern w:val="0"/>
                <w:sz w:val="24"/>
              </w:rPr>
              <w:t>案例、业绩等；</w:t>
            </w:r>
          </w:p>
          <w:p>
            <w:pPr>
              <w:widowControl/>
              <w:spacing w:line="240" w:lineRule="auto"/>
              <w:ind w:firstLine="0" w:firstLineChars="0"/>
              <w:jc w:val="left"/>
              <w:rPr>
                <w:rFonts w:hint="eastAsia" w:ascii="仿宋_GB2312" w:hAnsi="仿宋_GB2312" w:eastAsia="仿宋_GB2312" w:cs="仿宋_GB2312"/>
                <w:kern w:val="0"/>
                <w:sz w:val="24"/>
              </w:rPr>
            </w:pPr>
            <w:r>
              <w:rPr>
                <w:rFonts w:hint="eastAsia" w:ascii="仿宋_GB2312" w:hAnsi="仿宋_GB2312" w:eastAsia="仿宋_GB2312" w:cs="仿宋_GB2312"/>
                <w:kern w:val="0"/>
                <w:sz w:val="24"/>
                <w:lang w:val="en-US" w:eastAsia="zh-CN"/>
              </w:rPr>
              <w:t>5</w:t>
            </w:r>
            <w:r>
              <w:rPr>
                <w:rFonts w:hint="eastAsia" w:ascii="仿宋_GB2312" w:hAnsi="仿宋_GB2312" w:eastAsia="仿宋_GB2312" w:cs="仿宋_GB2312"/>
                <w:kern w:val="0"/>
                <w:sz w:val="24"/>
              </w:rPr>
              <w:t>、近三年内无行贿犯罪记录、无重大违法经营记录的声明和不存在处于被禁止参与政府采购活动期限内情形的声明函（声明函格式自拟）；</w:t>
            </w:r>
          </w:p>
          <w:p>
            <w:pPr>
              <w:widowControl/>
              <w:spacing w:line="240" w:lineRule="auto"/>
              <w:ind w:firstLine="0" w:firstLineChars="0"/>
              <w:jc w:val="left"/>
              <w:rPr>
                <w:rFonts w:hint="eastAsia" w:ascii="仿宋_GB2312" w:hAnsi="仿宋_GB2312" w:eastAsia="仿宋_GB2312" w:cs="仿宋_GB2312"/>
                <w:kern w:val="0"/>
                <w:sz w:val="24"/>
              </w:rPr>
            </w:pPr>
            <w:r>
              <w:rPr>
                <w:rFonts w:hint="eastAsia" w:ascii="仿宋_GB2312" w:hAnsi="仿宋_GB2312" w:eastAsia="仿宋_GB2312" w:cs="仿宋_GB2312"/>
                <w:kern w:val="0"/>
                <w:sz w:val="24"/>
                <w:lang w:val="en-US" w:eastAsia="zh-CN"/>
              </w:rPr>
              <w:t>6</w:t>
            </w:r>
            <w:r>
              <w:rPr>
                <w:rFonts w:hint="eastAsia" w:ascii="仿宋_GB2312" w:hAnsi="仿宋_GB2312" w:eastAsia="仿宋_GB2312" w:cs="仿宋_GB2312"/>
                <w:kern w:val="0"/>
                <w:sz w:val="24"/>
              </w:rPr>
              <w:t>、其他响应采购需求的材料。</w:t>
            </w:r>
          </w:p>
          <w:p>
            <w:pPr>
              <w:widowControl/>
              <w:spacing w:line="240" w:lineRule="auto"/>
              <w:ind w:firstLine="0" w:firstLineChars="0"/>
              <w:jc w:val="left"/>
              <w:rPr>
                <w:rFonts w:ascii="仿宋_GB2312" w:hAnsi="仿宋_GB2312" w:eastAsia="仿宋_GB2312" w:cs="仿宋_GB2312"/>
                <w:kern w:val="0"/>
                <w:sz w:val="24"/>
              </w:rPr>
            </w:pPr>
            <w:r>
              <w:rPr>
                <w:rFonts w:hint="eastAsia" w:ascii="仿宋_GB2312" w:hAnsi="仿宋_GB2312" w:eastAsia="仿宋_GB2312" w:cs="仿宋_GB2312"/>
                <w:kern w:val="0"/>
                <w:sz w:val="24"/>
              </w:rPr>
              <w:t>以上文件均需每页加盖单位公章并装订成册，且应将资料密封存入不透明文件袋中，贴密封条并加盖公章，否则视为无效投标。</w:t>
            </w:r>
          </w:p>
        </w:tc>
      </w:tr>
    </w:tbl>
    <w:p>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黑体" w:hAnsi="黑体" w:eastAsia="黑体" w:cs="黑体"/>
          <w:sz w:val="32"/>
          <w:szCs w:val="32"/>
          <w:lang w:val="en-US" w:eastAsia="zh-CN"/>
        </w:rPr>
      </w:pPr>
    </w:p>
    <w:sectPr>
      <w:footerReference r:id="rId3" w:type="default"/>
      <w:pgSz w:w="11906" w:h="16838"/>
      <w:pgMar w:top="1361" w:right="1361" w:bottom="1361" w:left="1361" w:header="851" w:footer="992" w:gutter="0"/>
      <w:pgBorders>
        <w:top w:val="none" w:sz="0" w:space="0"/>
        <w:left w:val="none" w:sz="0" w:space="0"/>
        <w:bottom w:val="none" w:sz="0" w:space="0"/>
        <w:right w:val="none" w:sz="0" w:space="0"/>
      </w:pgBorders>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Wingdings 2">
    <w:panose1 w:val="05020102010507070707"/>
    <w:charset w:val="02"/>
    <w:family w:val="roman"/>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">
              <v:fill on="f" focussize="0,0"/>
              <v:stroke on="f" weight="0.5pt"/>
              <v:imagedata o:title=""/>
              <o:lock v:ext="edit" aspectratio="f"/>
              <v:textbox inset="0mm,0mm,0mm,0mm" style="mso-fit-shape-to-text:t;">
                <w:txbxContent>
                  <w:p>
                    <w:pPr>
                      <w:pStyle w:val="4"/>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NlZTVjZmY1YTU2ZTU2NjBjNTE0MjY1ZGIyOTBhOTQifQ=="/>
  </w:docVars>
  <w:rsids>
    <w:rsidRoot w:val="00172A27"/>
    <w:rsid w:val="091C13C7"/>
    <w:rsid w:val="0A4669B5"/>
    <w:rsid w:val="11312983"/>
    <w:rsid w:val="14C24AD9"/>
    <w:rsid w:val="172C00A3"/>
    <w:rsid w:val="18B761FE"/>
    <w:rsid w:val="194B399D"/>
    <w:rsid w:val="1AF3636A"/>
    <w:rsid w:val="1CD203FA"/>
    <w:rsid w:val="1D1041D7"/>
    <w:rsid w:val="251026CF"/>
    <w:rsid w:val="25BB89B5"/>
    <w:rsid w:val="27FF4AC9"/>
    <w:rsid w:val="2E544988"/>
    <w:rsid w:val="2FBB6ACC"/>
    <w:rsid w:val="304A7E50"/>
    <w:rsid w:val="334D7C7F"/>
    <w:rsid w:val="340E45C5"/>
    <w:rsid w:val="37BEEFDB"/>
    <w:rsid w:val="3EB74A0A"/>
    <w:rsid w:val="3F1434CE"/>
    <w:rsid w:val="416451E2"/>
    <w:rsid w:val="447E6A90"/>
    <w:rsid w:val="46B67F33"/>
    <w:rsid w:val="4E144BA8"/>
    <w:rsid w:val="51BA04A8"/>
    <w:rsid w:val="57AD6E4E"/>
    <w:rsid w:val="587C663C"/>
    <w:rsid w:val="59FD49EF"/>
    <w:rsid w:val="5A771A36"/>
    <w:rsid w:val="5C8F69B7"/>
    <w:rsid w:val="5EBA216A"/>
    <w:rsid w:val="66AD6A92"/>
    <w:rsid w:val="66C374B6"/>
    <w:rsid w:val="686C909E"/>
    <w:rsid w:val="6A1555D3"/>
    <w:rsid w:val="6B9F26D5"/>
    <w:rsid w:val="6FAA4915"/>
    <w:rsid w:val="6FF14992"/>
    <w:rsid w:val="6FFCB35A"/>
    <w:rsid w:val="73FDE9AE"/>
    <w:rsid w:val="76FBB1B8"/>
    <w:rsid w:val="7994E548"/>
    <w:rsid w:val="79FBC75C"/>
    <w:rsid w:val="7C9A35BC"/>
    <w:rsid w:val="7E97605D"/>
    <w:rsid w:val="7EEEC9FF"/>
    <w:rsid w:val="7EFE51CE"/>
    <w:rsid w:val="7F34677C"/>
    <w:rsid w:val="7FFF6BA0"/>
    <w:rsid w:val="7FFFA8D5"/>
    <w:rsid w:val="ACEF026E"/>
    <w:rsid w:val="B7FBE8F1"/>
    <w:rsid w:val="B8FAEBAC"/>
    <w:rsid w:val="BAEF7002"/>
    <w:rsid w:val="CFB6416C"/>
    <w:rsid w:val="D1FFEFC3"/>
    <w:rsid w:val="D3B8C37D"/>
    <w:rsid w:val="D537D8C6"/>
    <w:rsid w:val="D62B1347"/>
    <w:rsid w:val="DBFFA8C0"/>
    <w:rsid w:val="DC57CE93"/>
    <w:rsid w:val="DFFF6912"/>
    <w:rsid w:val="FAFD95E0"/>
    <w:rsid w:val="FBDDAEA5"/>
    <w:rsid w:val="FDDEAE8F"/>
    <w:rsid w:val="FEBD3C66"/>
    <w:rsid w:val="FF9F3F21"/>
    <w:rsid w:val="FFD91144"/>
    <w:rsid w:val="FFFEBF7D"/>
    <w:rsid w:val="FFFFBEA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iPriority="9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Normal Indent"/>
    <w:basedOn w:val="1"/>
    <w:qFormat/>
    <w:uiPriority w:val="0"/>
    <w:pPr>
      <w:spacing w:line="560" w:lineRule="exact"/>
      <w:ind w:firstLine="420" w:firstLineChars="200"/>
    </w:pPr>
  </w:style>
  <w:style w:type="paragraph" w:styleId="3">
    <w:name w:val="Body Text"/>
    <w:next w:val="1"/>
    <w:qFormat/>
    <w:uiPriority w:val="1"/>
    <w:pPr>
      <w:widowControl w:val="0"/>
      <w:autoSpaceDE w:val="0"/>
      <w:autoSpaceDN w:val="0"/>
      <w:spacing w:before="0" w:after="0" w:line="240" w:lineRule="auto"/>
      <w:ind w:left="106" w:right="0"/>
      <w:jc w:val="left"/>
    </w:pPr>
    <w:rPr>
      <w:rFonts w:ascii="仿宋_GB2312" w:hAnsi="仿宋_GB2312" w:eastAsia="仿宋_GB2312" w:cs="仿宋_GB2312"/>
      <w:sz w:val="32"/>
      <w:szCs w:val="32"/>
      <w:lang w:val="zh-CN" w:eastAsia="zh-CN" w:bidi="zh-CN"/>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7">
    <w:name w:val="Table Grid"/>
    <w:basedOn w:val="6"/>
    <w:unhideWhenUsed/>
    <w:qFormat/>
    <w:uiPriority w:val="9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footnote reference"/>
    <w:basedOn w:val="8"/>
    <w:qFormat/>
    <w:uiPriority w:val="0"/>
    <w:rPr>
      <w:vertAlign w:val="superscript"/>
    </w:rPr>
  </w:style>
  <w:style w:type="character" w:customStyle="1" w:styleId="10">
    <w:name w:val="font11"/>
    <w:basedOn w:val="8"/>
    <w:qFormat/>
    <w:uiPriority w:val="0"/>
    <w:rPr>
      <w:rFonts w:hint="eastAsia" w:ascii="仿宋_GB2312" w:eastAsia="仿宋_GB2312" w:cs="仿宋_GB2312"/>
      <w:color w:val="000000"/>
      <w:sz w:val="28"/>
      <w:szCs w:val="28"/>
      <w:u w:val="none"/>
    </w:rPr>
  </w:style>
  <w:style w:type="paragraph" w:customStyle="1" w:styleId="11">
    <w:name w:val="列出段落3"/>
    <w:basedOn w:val="1"/>
    <w:unhideWhenUsed/>
    <w:qFormat/>
    <w:uiPriority w:val="99"/>
    <w:pPr>
      <w:ind w:firstLine="420" w:firstLineChars="200"/>
    </w:pPr>
  </w:style>
  <w:style w:type="paragraph" w:customStyle="1" w:styleId="12">
    <w:name w:val="Heading #1|1"/>
    <w:basedOn w:val="1"/>
    <w:qFormat/>
    <w:uiPriority w:val="0"/>
    <w:pPr>
      <w:spacing w:after="580" w:line="590" w:lineRule="exact"/>
      <w:jc w:val="center"/>
      <w:outlineLvl w:val="0"/>
    </w:pPr>
    <w:rPr>
      <w:rFonts w:ascii="宋体" w:hAnsi="宋体" w:eastAsia="宋体" w:cs="宋体"/>
      <w:sz w:val="44"/>
      <w:szCs w:val="44"/>
      <w:lang w:val="zh-TW" w:eastAsia="zh-TW" w:bidi="zh-TW"/>
    </w:rPr>
  </w:style>
  <w:style w:type="paragraph" w:customStyle="1" w:styleId="13">
    <w:name w:val="Other|1"/>
    <w:basedOn w:val="1"/>
    <w:qFormat/>
    <w:uiPriority w:val="0"/>
    <w:rPr>
      <w:rFonts w:ascii="宋体" w:hAnsi="宋体" w:eastAsia="宋体" w:cs="宋体"/>
      <w:sz w:val="20"/>
      <w:szCs w:val="20"/>
      <w:lang w:val="zh-TW" w:eastAsia="zh-TW" w:bidi="zh-TW"/>
    </w:rPr>
  </w:style>
  <w:style w:type="paragraph" w:customStyle="1" w:styleId="14">
    <w:name w:val="Body text|1"/>
    <w:basedOn w:val="1"/>
    <w:qFormat/>
    <w:uiPriority w:val="0"/>
    <w:pPr>
      <w:spacing w:line="432" w:lineRule="auto"/>
      <w:ind w:firstLine="400"/>
    </w:pPr>
    <w:rPr>
      <w:rFonts w:ascii="宋体" w:hAnsi="宋体" w:eastAsia="宋体" w:cs="宋体"/>
      <w:sz w:val="28"/>
      <w:szCs w:val="28"/>
      <w:lang w:val="zh-TW" w:eastAsia="zh-TW" w:bidi="zh-TW"/>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Office_11.8.2.11851_F1E327BC-269C-435d-A152-05C5408002CA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2023-11-11T09:41:00Z</dcterms:created>
  <dc:creator>lulu</dc:creator>
  <cp:lastModifiedBy>苏奕新</cp:lastModifiedBy>
  <cp:lastPrinted>2025-01-16T14:49:15Z</cp:lastPrinted>
  <dcterms:modified xsi:type="dcterms:W3CDTF">2025-01-16T14:49:57Z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2052-11.8.2.11851</vt:lpwstr>
  </property>
  <property fmtid="{D5CDD505-2E9C-101B-9397-08002B2CF9AE}" pid="3" name="ICV">
    <vt:lpwstr>E381D7838E480F4BF45B3D67E323520C</vt:lpwstr>
  </property>
</Properties>
</file>