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FDCCF">
      <w:pPr>
        <w:pStyle w:val="6"/>
        <w:autoSpaceDE/>
        <w:autoSpaceDN/>
        <w:spacing w:line="560" w:lineRule="exact"/>
        <w:ind w:left="0"/>
        <w:rPr>
          <w:rFonts w:hint="eastAsia" w:ascii="黑体" w:hAnsi="黑体" w:eastAsia="黑体" w:cs="黑体"/>
          <w:lang w:val="en-US" w:eastAsia="zh-CN"/>
        </w:rPr>
      </w:pPr>
      <w:bookmarkStart w:id="0" w:name="_GoBack"/>
      <w:bookmarkEnd w:id="0"/>
      <w:r>
        <w:rPr>
          <w:rFonts w:hint="eastAsia" w:ascii="黑体" w:hAnsi="黑体" w:eastAsia="黑体" w:cs="黑体"/>
          <w:lang w:val="en-US" w:eastAsia="zh-CN"/>
        </w:rPr>
        <w:t>附件</w:t>
      </w:r>
    </w:p>
    <w:p w14:paraId="6096D455">
      <w:pPr>
        <w:pStyle w:val="6"/>
        <w:autoSpaceDE/>
        <w:autoSpaceDN/>
        <w:spacing w:line="560" w:lineRule="exact"/>
        <w:ind w:left="0"/>
        <w:rPr>
          <w:rFonts w:hint="eastAsia" w:ascii="黑体" w:hAnsi="黑体" w:eastAsia="黑体" w:cs="黑体"/>
          <w:lang w:val="en-US" w:eastAsia="zh-CN"/>
        </w:rPr>
      </w:pPr>
    </w:p>
    <w:p w14:paraId="0C29A626">
      <w:pPr>
        <w:pStyle w:val="6"/>
        <w:autoSpaceDE/>
        <w:autoSpaceDN/>
        <w:spacing w:line="560" w:lineRule="exact"/>
        <w:ind w:left="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社区安全韧性能力提升指标体系(供参考)</w:t>
      </w:r>
    </w:p>
    <w:p w14:paraId="49059E1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tbl>
      <w:tblPr>
        <w:tblStyle w:val="9"/>
        <w:tblW w:w="9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97"/>
        <w:gridCol w:w="2"/>
        <w:gridCol w:w="1536"/>
        <w:gridCol w:w="7543"/>
        <w:gridCol w:w="1"/>
      </w:tblGrid>
      <w:tr w14:paraId="51B2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restart"/>
            <w:shd w:val="clear" w:color="auto" w:fill="auto"/>
            <w:vAlign w:val="center"/>
          </w:tcPr>
          <w:p w14:paraId="190F0465">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一级</w:t>
            </w:r>
          </w:p>
          <w:p w14:paraId="71506A52">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w:t>
            </w:r>
          </w:p>
        </w:tc>
        <w:tc>
          <w:tcPr>
            <w:tcW w:w="1538" w:type="dxa"/>
            <w:gridSpan w:val="2"/>
            <w:vMerge w:val="restart"/>
            <w:shd w:val="clear" w:color="auto" w:fill="auto"/>
            <w:vAlign w:val="center"/>
          </w:tcPr>
          <w:p w14:paraId="44295858">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二级指标</w:t>
            </w:r>
          </w:p>
        </w:tc>
        <w:tc>
          <w:tcPr>
            <w:tcW w:w="7544" w:type="dxa"/>
            <w:gridSpan w:val="2"/>
            <w:shd w:val="clear" w:color="auto" w:fill="auto"/>
            <w:vAlign w:val="center"/>
          </w:tcPr>
          <w:p w14:paraId="27907C7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评估内容</w:t>
            </w:r>
          </w:p>
        </w:tc>
      </w:tr>
      <w:tr w14:paraId="17BE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restart"/>
            <w:shd w:val="clear" w:color="auto" w:fill="auto"/>
            <w:vAlign w:val="center"/>
          </w:tcPr>
          <w:p w14:paraId="62B51634">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组织管理</w:t>
            </w:r>
          </w:p>
        </w:tc>
        <w:tc>
          <w:tcPr>
            <w:tcW w:w="1538" w:type="dxa"/>
            <w:gridSpan w:val="2"/>
            <w:vMerge w:val="restart"/>
            <w:shd w:val="clear" w:color="auto" w:fill="auto"/>
            <w:vAlign w:val="center"/>
          </w:tcPr>
          <w:p w14:paraId="1418A5C5">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组织领导</w:t>
            </w:r>
          </w:p>
        </w:tc>
        <w:tc>
          <w:tcPr>
            <w:tcW w:w="7544" w:type="dxa"/>
            <w:gridSpan w:val="2"/>
            <w:shd w:val="clear" w:color="auto" w:fill="auto"/>
            <w:vAlign w:val="center"/>
          </w:tcPr>
          <w:p w14:paraId="6EE6FB4C">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组建本社区综合减灾工作领导小组，由社区主要领导人任组长，成员包括社区“两委”委员、灾害信息员等。</w:t>
            </w:r>
          </w:p>
        </w:tc>
      </w:tr>
      <w:tr w14:paraId="7FB6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309B8222">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1191C0D5">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3678CC5F">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每年至少召开1次工作会议。</w:t>
            </w:r>
          </w:p>
        </w:tc>
      </w:tr>
      <w:tr w14:paraId="459C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45C3523C">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restart"/>
            <w:shd w:val="clear" w:color="auto" w:fill="auto"/>
            <w:vAlign w:val="center"/>
          </w:tcPr>
          <w:p w14:paraId="0A30F09A">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规章制度</w:t>
            </w:r>
          </w:p>
        </w:tc>
        <w:tc>
          <w:tcPr>
            <w:tcW w:w="7544" w:type="dxa"/>
            <w:gridSpan w:val="2"/>
            <w:shd w:val="clear" w:color="auto" w:fill="auto"/>
            <w:vAlign w:val="center"/>
          </w:tcPr>
          <w:p w14:paraId="0DCA9628">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制定社区综合减灾规章制度，包括但不限于：综合减灾工作制度、灾害监测预警制度、脆弱人群帮扶制度、防灾减灾救灾宣传培训制度、防灾减灾救灾物资管理制度、应急值守制度。</w:t>
            </w:r>
          </w:p>
        </w:tc>
      </w:tr>
      <w:tr w14:paraId="167A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5A9BEC11">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0970578E">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168A6163">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与街道相关职能部门（应急管理部门、社会事务管理部门、公安部门派出机构、医疗卫生部门等）建立协调联动机制，开展综合减灾工作。</w:t>
            </w:r>
          </w:p>
        </w:tc>
      </w:tr>
      <w:tr w14:paraId="5BE2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6B695DAA">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190A5368">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2823442B">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与有关社会组织、邻近社区、物业管理单位建立协调联动机制，开展综合减灾工作。</w:t>
            </w:r>
          </w:p>
        </w:tc>
      </w:tr>
      <w:tr w14:paraId="156F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3E6E0804">
            <w:pPr>
              <w:jc w:val="center"/>
              <w:rPr>
                <w:rFonts w:hint="eastAsia" w:ascii="仿宋_GB2312" w:hAnsi="仿宋_GB2312" w:eastAsia="仿宋_GB2312" w:cs="仿宋_GB2312"/>
                <w:b/>
                <w:bCs/>
                <w:i w:val="0"/>
                <w:iCs w:val="0"/>
                <w:color w:val="auto"/>
                <w:sz w:val="24"/>
                <w:szCs w:val="24"/>
                <w:u w:val="none"/>
              </w:rPr>
            </w:pPr>
          </w:p>
        </w:tc>
        <w:tc>
          <w:tcPr>
            <w:tcW w:w="1538" w:type="dxa"/>
            <w:gridSpan w:val="2"/>
            <w:shd w:val="clear" w:color="auto" w:fill="auto"/>
            <w:vAlign w:val="center"/>
          </w:tcPr>
          <w:p w14:paraId="220A7CBA">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网格化管理</w:t>
            </w:r>
          </w:p>
        </w:tc>
        <w:tc>
          <w:tcPr>
            <w:tcW w:w="7544" w:type="dxa"/>
            <w:gridSpan w:val="2"/>
            <w:shd w:val="clear" w:color="auto" w:fill="auto"/>
            <w:vAlign w:val="center"/>
          </w:tcPr>
          <w:p w14:paraId="757558CC">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实行网格化管理，网格员发现的隐患受理率达到100%。</w:t>
            </w:r>
          </w:p>
        </w:tc>
      </w:tr>
      <w:tr w14:paraId="1A2E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3C3E0EF6">
            <w:pPr>
              <w:jc w:val="center"/>
              <w:rPr>
                <w:rFonts w:hint="eastAsia" w:ascii="仿宋_GB2312" w:hAnsi="仿宋_GB2312" w:eastAsia="仿宋_GB2312" w:cs="仿宋_GB2312"/>
                <w:b/>
                <w:bCs/>
                <w:i w:val="0"/>
                <w:iCs w:val="0"/>
                <w:color w:val="auto"/>
                <w:sz w:val="24"/>
                <w:szCs w:val="24"/>
                <w:u w:val="none"/>
              </w:rPr>
            </w:pPr>
          </w:p>
        </w:tc>
        <w:tc>
          <w:tcPr>
            <w:tcW w:w="1538" w:type="dxa"/>
            <w:gridSpan w:val="2"/>
            <w:shd w:val="clear" w:color="auto" w:fill="auto"/>
            <w:vAlign w:val="center"/>
          </w:tcPr>
          <w:p w14:paraId="5C2A2F47">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经费投入</w:t>
            </w:r>
          </w:p>
        </w:tc>
        <w:tc>
          <w:tcPr>
            <w:tcW w:w="7544" w:type="dxa"/>
            <w:gridSpan w:val="2"/>
            <w:shd w:val="clear" w:color="auto" w:fill="auto"/>
            <w:vAlign w:val="center"/>
          </w:tcPr>
          <w:p w14:paraId="2D7F9F50">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有防灾减灾救灾、安全生产等经费保障，并严格管理、规范使用。</w:t>
            </w:r>
          </w:p>
        </w:tc>
      </w:tr>
      <w:tr w14:paraId="3D7E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1F5FE528">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restart"/>
            <w:shd w:val="clear" w:color="auto" w:fill="auto"/>
            <w:vAlign w:val="center"/>
          </w:tcPr>
          <w:p w14:paraId="47BE8136">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灾害保险</w:t>
            </w:r>
          </w:p>
        </w:tc>
        <w:tc>
          <w:tcPr>
            <w:tcW w:w="7544" w:type="dxa"/>
            <w:gridSpan w:val="2"/>
            <w:shd w:val="clear" w:color="auto" w:fill="auto"/>
            <w:vAlign w:val="center"/>
          </w:tcPr>
          <w:p w14:paraId="55E76FF7">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社区居民、企事业单位宜参加燃气险、火灾险、意外险、车辆险等各类保险。</w:t>
            </w:r>
          </w:p>
        </w:tc>
      </w:tr>
      <w:tr w14:paraId="3F4B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6FA194FE">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15C2C001">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5080F6DC">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灾害发生后，组织受灾对象合理申报巨灾保险救助款项。</w:t>
            </w:r>
          </w:p>
        </w:tc>
      </w:tr>
      <w:tr w14:paraId="0DB5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55E30ACD">
            <w:pPr>
              <w:jc w:val="center"/>
              <w:rPr>
                <w:rFonts w:hint="eastAsia" w:ascii="仿宋_GB2312" w:hAnsi="仿宋_GB2312" w:eastAsia="仿宋_GB2312" w:cs="仿宋_GB2312"/>
                <w:b/>
                <w:bCs/>
                <w:i w:val="0"/>
                <w:iCs w:val="0"/>
                <w:color w:val="auto"/>
                <w:sz w:val="24"/>
                <w:szCs w:val="24"/>
                <w:u w:val="none"/>
              </w:rPr>
            </w:pPr>
          </w:p>
        </w:tc>
        <w:tc>
          <w:tcPr>
            <w:tcW w:w="1538" w:type="dxa"/>
            <w:gridSpan w:val="2"/>
            <w:shd w:val="clear" w:color="auto" w:fill="auto"/>
            <w:vAlign w:val="center"/>
          </w:tcPr>
          <w:p w14:paraId="7D6ADF6A">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工作档案</w:t>
            </w:r>
          </w:p>
        </w:tc>
        <w:tc>
          <w:tcPr>
            <w:tcW w:w="7544" w:type="dxa"/>
            <w:gridSpan w:val="2"/>
            <w:shd w:val="clear" w:color="auto" w:fill="auto"/>
            <w:vAlign w:val="center"/>
          </w:tcPr>
          <w:p w14:paraId="53BDE074">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建立综合减灾社区创建管理工作档案。</w:t>
            </w:r>
          </w:p>
        </w:tc>
      </w:tr>
      <w:tr w14:paraId="203C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restart"/>
            <w:shd w:val="clear" w:color="auto" w:fill="auto"/>
            <w:vAlign w:val="center"/>
          </w:tcPr>
          <w:p w14:paraId="5A703238">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队伍建设</w:t>
            </w:r>
          </w:p>
        </w:tc>
        <w:tc>
          <w:tcPr>
            <w:tcW w:w="1538" w:type="dxa"/>
            <w:gridSpan w:val="2"/>
            <w:vMerge w:val="restart"/>
            <w:shd w:val="clear" w:color="auto" w:fill="auto"/>
            <w:vAlign w:val="center"/>
          </w:tcPr>
          <w:p w14:paraId="773ED6F3">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应急队伍</w:t>
            </w:r>
          </w:p>
        </w:tc>
        <w:tc>
          <w:tcPr>
            <w:tcW w:w="7544" w:type="dxa"/>
            <w:gridSpan w:val="2"/>
            <w:shd w:val="clear" w:color="auto" w:fill="auto"/>
            <w:vAlign w:val="center"/>
          </w:tcPr>
          <w:p w14:paraId="0ECA08D1">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组建社区专职人员和兼职人员相结合的应急队伍。</w:t>
            </w:r>
          </w:p>
        </w:tc>
      </w:tr>
      <w:tr w14:paraId="6C7E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33CF75E8">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39AC82A7">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72BE8543">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应急队伍配有适合当地灾害救援特点的救援装备。</w:t>
            </w:r>
          </w:p>
        </w:tc>
      </w:tr>
      <w:tr w14:paraId="48E7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451857B1">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59FB7A97">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79549031">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完善由社区工作者、基层民警和医务人员组成的社区三人组工作机制。</w:t>
            </w:r>
          </w:p>
        </w:tc>
      </w:tr>
      <w:tr w14:paraId="5D63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26B88089">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6DEA9273">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67579CF0">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有效整合辖区物业管理单位应急力量，组建常态化应急值守队伍。</w:t>
            </w:r>
          </w:p>
        </w:tc>
      </w:tr>
      <w:tr w14:paraId="763B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4CE24F7B">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74633822">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67805670">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与综合消防救援队伍建立联动机制。</w:t>
            </w:r>
          </w:p>
        </w:tc>
      </w:tr>
      <w:tr w14:paraId="4C65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2BB50ADC">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282DDEB0">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5E0F8075">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与辖区生产、经营、储存危险物品的单位，城市轨道交通运营、建筑施工、物业管理、防洪排涝等单位的应急救援组织建立联动机制。</w:t>
            </w:r>
          </w:p>
        </w:tc>
      </w:tr>
      <w:tr w14:paraId="2F03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47D51E7A">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restart"/>
            <w:shd w:val="clear" w:color="auto" w:fill="auto"/>
            <w:vAlign w:val="center"/>
          </w:tcPr>
          <w:p w14:paraId="0376B56E">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灾害信息员</w:t>
            </w:r>
          </w:p>
        </w:tc>
        <w:tc>
          <w:tcPr>
            <w:tcW w:w="7544" w:type="dxa"/>
            <w:gridSpan w:val="2"/>
            <w:shd w:val="clear" w:color="auto" w:fill="auto"/>
            <w:vAlign w:val="center"/>
          </w:tcPr>
          <w:p w14:paraId="3C7D4B6C">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社区至少配有1名灾害信息员。</w:t>
            </w:r>
          </w:p>
        </w:tc>
      </w:tr>
      <w:tr w14:paraId="0840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0319F74C">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1E5FF5B4">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4A0A50BE">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灾害信息员参加防灾减灾救灾、安全生产、消防等培训，每年培训次数不少于2次。</w:t>
            </w:r>
          </w:p>
        </w:tc>
      </w:tr>
      <w:tr w14:paraId="0F85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2AFECF5B">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restart"/>
            <w:shd w:val="clear" w:color="auto" w:fill="auto"/>
            <w:vAlign w:val="center"/>
          </w:tcPr>
          <w:p w14:paraId="48D04B28">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志愿者队伍</w:t>
            </w:r>
          </w:p>
        </w:tc>
        <w:tc>
          <w:tcPr>
            <w:tcW w:w="7544" w:type="dxa"/>
            <w:gridSpan w:val="2"/>
            <w:shd w:val="clear" w:color="auto" w:fill="auto"/>
            <w:vAlign w:val="center"/>
          </w:tcPr>
          <w:p w14:paraId="31C6776B">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有参与综合减灾工作的志愿者队伍。</w:t>
            </w:r>
          </w:p>
        </w:tc>
      </w:tr>
      <w:tr w14:paraId="6E8F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1D14DC75">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1D5E44B7">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3DBDCEA5">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志愿者队伍人数在10人以上。</w:t>
            </w:r>
          </w:p>
        </w:tc>
      </w:tr>
      <w:tr w14:paraId="3298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0257EF9B">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restart"/>
            <w:shd w:val="clear" w:color="auto" w:fill="auto"/>
            <w:vAlign w:val="center"/>
          </w:tcPr>
          <w:p w14:paraId="4116A111">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企事业单位</w:t>
            </w:r>
          </w:p>
        </w:tc>
        <w:tc>
          <w:tcPr>
            <w:tcW w:w="7544" w:type="dxa"/>
            <w:gridSpan w:val="2"/>
            <w:shd w:val="clear" w:color="auto" w:fill="auto"/>
            <w:vAlign w:val="center"/>
          </w:tcPr>
          <w:p w14:paraId="72F89FE5">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引导辖区内学校、医院（医疗机构）、工贸企业、商场等相关单位组织开展综合减灾活动。</w:t>
            </w:r>
          </w:p>
        </w:tc>
      </w:tr>
      <w:tr w14:paraId="3E17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68A15423">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20FF193A">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18BBC661">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引导辖区内学校、医院（医疗机构）、工贸企业、商场等相关单位以及慈善组织、义工组织等社会组织、志愿者主动参与社区综合减灾活动，社区每次综合减灾活动应至少有1个前述单位或社会组织主动参与。</w:t>
            </w:r>
          </w:p>
        </w:tc>
      </w:tr>
      <w:tr w14:paraId="18B0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restart"/>
            <w:shd w:val="clear" w:color="auto" w:fill="auto"/>
            <w:vAlign w:val="center"/>
          </w:tcPr>
          <w:p w14:paraId="40FC11FA">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风险</w:t>
            </w:r>
            <w:r>
              <w:rPr>
                <w:rFonts w:hint="eastAsia" w:ascii="仿宋_GB2312" w:hAnsi="仿宋_GB2312" w:eastAsia="仿宋_GB2312" w:cs="仿宋_GB2312"/>
                <w:b/>
                <w:bCs/>
                <w:i w:val="0"/>
                <w:iCs w:val="0"/>
                <w:color w:val="auto"/>
                <w:kern w:val="0"/>
                <w:sz w:val="24"/>
                <w:szCs w:val="24"/>
                <w:u w:val="none"/>
                <w:lang w:val="en-US" w:eastAsia="zh-CN" w:bidi="ar"/>
              </w:rPr>
              <w:br w:type="textWrapping"/>
            </w:r>
            <w:r>
              <w:rPr>
                <w:rFonts w:hint="eastAsia" w:ascii="仿宋_GB2312" w:hAnsi="仿宋_GB2312" w:eastAsia="仿宋_GB2312" w:cs="仿宋_GB2312"/>
                <w:b/>
                <w:bCs/>
                <w:i w:val="0"/>
                <w:iCs w:val="0"/>
                <w:color w:val="auto"/>
                <w:kern w:val="0"/>
                <w:sz w:val="24"/>
                <w:szCs w:val="24"/>
                <w:u w:val="none"/>
                <w:lang w:val="en-US" w:eastAsia="zh-CN" w:bidi="ar"/>
              </w:rPr>
              <w:t>治理</w:t>
            </w:r>
          </w:p>
        </w:tc>
        <w:tc>
          <w:tcPr>
            <w:tcW w:w="1538" w:type="dxa"/>
            <w:gridSpan w:val="2"/>
            <w:vMerge w:val="restart"/>
            <w:shd w:val="clear" w:color="auto" w:fill="auto"/>
            <w:vAlign w:val="center"/>
          </w:tcPr>
          <w:p w14:paraId="2B6D43D8">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风险评估</w:t>
            </w:r>
          </w:p>
        </w:tc>
        <w:tc>
          <w:tcPr>
            <w:tcW w:w="7544" w:type="dxa"/>
            <w:gridSpan w:val="2"/>
            <w:shd w:val="clear" w:color="auto" w:fill="auto"/>
            <w:vAlign w:val="center"/>
          </w:tcPr>
          <w:p w14:paraId="6D7A10DB">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每半年组织1次针对不同类型社区易发频发的灾害特点的灾害风险调查，开展灾害风险评估，制作灾害风险地图。</w:t>
            </w:r>
          </w:p>
        </w:tc>
      </w:tr>
      <w:tr w14:paraId="319B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177D482F">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24D4A084">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7E4B8AB0">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灾害风险地图标示灾害风险类型、隐患点分布、风险等级或强度、影响区域范围、影响时间、疏散路径、应急避难场所和安置点布局、消防和医疗设施位置、指北针、图例和历史灾害情况等，比例不低于1:50000。</w:t>
            </w:r>
          </w:p>
        </w:tc>
      </w:tr>
      <w:tr w14:paraId="1CC3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97" w:type="dxa"/>
            <w:vMerge w:val="continue"/>
            <w:shd w:val="clear" w:color="auto" w:fill="auto"/>
            <w:vAlign w:val="center"/>
          </w:tcPr>
          <w:p w14:paraId="4889BC8F">
            <w:pPr>
              <w:jc w:val="center"/>
              <w:rPr>
                <w:rFonts w:hint="eastAsia" w:ascii="仿宋_GB2312" w:hAnsi="仿宋_GB2312" w:eastAsia="仿宋_GB2312" w:cs="仿宋_GB2312"/>
                <w:b/>
                <w:bCs/>
                <w:i w:val="0"/>
                <w:iCs w:val="0"/>
                <w:color w:val="auto"/>
                <w:sz w:val="24"/>
                <w:szCs w:val="24"/>
                <w:u w:val="none"/>
              </w:rPr>
            </w:pPr>
          </w:p>
        </w:tc>
        <w:tc>
          <w:tcPr>
            <w:tcW w:w="1538" w:type="dxa"/>
            <w:gridSpan w:val="2"/>
            <w:vMerge w:val="continue"/>
            <w:shd w:val="clear" w:color="auto" w:fill="auto"/>
            <w:vAlign w:val="center"/>
          </w:tcPr>
          <w:p w14:paraId="1546D324">
            <w:pPr>
              <w:jc w:val="center"/>
              <w:rPr>
                <w:rFonts w:hint="eastAsia" w:ascii="仿宋_GB2312" w:hAnsi="仿宋_GB2312" w:eastAsia="仿宋_GB2312" w:cs="仿宋_GB2312"/>
                <w:b/>
                <w:bCs/>
                <w:i w:val="0"/>
                <w:iCs w:val="0"/>
                <w:color w:val="auto"/>
                <w:sz w:val="24"/>
                <w:szCs w:val="24"/>
                <w:u w:val="none"/>
              </w:rPr>
            </w:pPr>
          </w:p>
        </w:tc>
        <w:tc>
          <w:tcPr>
            <w:tcW w:w="7544" w:type="dxa"/>
            <w:gridSpan w:val="2"/>
            <w:shd w:val="clear" w:color="auto" w:fill="auto"/>
            <w:vAlign w:val="center"/>
          </w:tcPr>
          <w:p w14:paraId="33AC44C7">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依据风险评估结果，建立社区隐患清单，强化对重点场所、重点部位的风险治理，明确事故危险源、危险设施、设施损坏、设备缺失等相关信息。</w:t>
            </w:r>
          </w:p>
        </w:tc>
      </w:tr>
      <w:tr w14:paraId="0C88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restart"/>
            <w:shd w:val="clear" w:color="auto" w:fill="auto"/>
            <w:vAlign w:val="center"/>
          </w:tcPr>
          <w:p w14:paraId="184899D0">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风险治理</w:t>
            </w:r>
          </w:p>
        </w:tc>
        <w:tc>
          <w:tcPr>
            <w:tcW w:w="1536" w:type="dxa"/>
            <w:vMerge w:val="restart"/>
            <w:shd w:val="clear" w:color="auto" w:fill="auto"/>
            <w:vAlign w:val="center"/>
          </w:tcPr>
          <w:p w14:paraId="22E6500E">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形势分析</w:t>
            </w:r>
          </w:p>
        </w:tc>
        <w:tc>
          <w:tcPr>
            <w:tcW w:w="7543" w:type="dxa"/>
            <w:shd w:val="clear" w:color="auto" w:fill="auto"/>
            <w:vAlign w:val="center"/>
          </w:tcPr>
          <w:p w14:paraId="5B2184EE">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每季度进行一次生产安全、消防安全、交通安全、社会治安、燃气安全等各类事故与伤害数据的收集、整理与分析。</w:t>
            </w:r>
          </w:p>
        </w:tc>
      </w:tr>
      <w:tr w14:paraId="5E4F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465E9B76">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162EA7D9">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隐患检查</w:t>
            </w:r>
          </w:p>
        </w:tc>
        <w:tc>
          <w:tcPr>
            <w:tcW w:w="7543" w:type="dxa"/>
            <w:shd w:val="clear" w:color="auto" w:fill="auto"/>
            <w:vAlign w:val="center"/>
          </w:tcPr>
          <w:p w14:paraId="59AFCB4B">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自然灾害隐患排查：</w:t>
            </w:r>
          </w:p>
          <w:p w14:paraId="7958949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a)汛前开展防汛、防风、防雷检查，整改相关隐患点（地下空间、低洼地段等）；</w:t>
            </w:r>
          </w:p>
          <w:p w14:paraId="1120823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b)在地质灾害隐患点设置警示标志，并加强日常监测；</w:t>
            </w:r>
          </w:p>
          <w:p w14:paraId="5B84BC7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c)有林社区定期开展森林火灾隐患排查。</w:t>
            </w:r>
          </w:p>
        </w:tc>
      </w:tr>
      <w:tr w14:paraId="6DD6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329A4164">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3EFC3E7E">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49D8CF83">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市政管线检查：协助行业主管部门定期开展辖区内市政管线检查，及时发现并上报可能影响生命线运行的隐患。</w:t>
            </w:r>
          </w:p>
        </w:tc>
      </w:tr>
      <w:tr w14:paraId="36E4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4ED430B3">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664647C6">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33E6F38B">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场所和设施检查：</w:t>
            </w:r>
          </w:p>
          <w:p w14:paraId="43989DF5">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a)协助行业主管部门定期开展辖区内高层建筑电梯、居住建筑内电气线路、车库等地下空间、仓库等封闭场所、水池及建筑物外墙“广告牌、空调三角架”等较高风险区域安全检查；</w:t>
            </w:r>
          </w:p>
          <w:p w14:paraId="4F3662D0">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b)督促人员密集场所管理单位定期开展风险评估，建立大客流监测和</w:t>
            </w:r>
          </w:p>
          <w:p w14:paraId="3F776986">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应急管控制度。</w:t>
            </w:r>
          </w:p>
        </w:tc>
      </w:tr>
      <w:tr w14:paraId="0232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2D3A391A">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1CB86D63">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3E0CBC2E">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易燃易爆危险物品检查：</w:t>
            </w:r>
          </w:p>
          <w:p w14:paraId="292AC37B">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a)协助行业主管部门定期检查辖区内防雷安全，督促产权单位、物业服务人落实雷电防护装置定期检测制度；</w:t>
            </w:r>
          </w:p>
          <w:p w14:paraId="2191B5B9">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b)协助行业主管部门定期检查违规储存、使用或销售易燃易爆危险物品的情况；</w:t>
            </w:r>
          </w:p>
          <w:p w14:paraId="519F6FF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c)住宅的竖向管井管道防火封堵严密，电缆井、管道井等公共区域以及配电柜、电表箱等处无堆放易燃可燃物品现象。</w:t>
            </w:r>
          </w:p>
        </w:tc>
      </w:tr>
      <w:tr w14:paraId="0F4E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07296915">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29E7FD47">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545D2855">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电气火灾隐患整治：</w:t>
            </w:r>
          </w:p>
          <w:p w14:paraId="406A3229">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a)专业经营单位定期维护保养管道燃气、供电、通信、有线电视、轨道交通等公共电气设备设施，及时整改电气火灾隐患；</w:t>
            </w:r>
          </w:p>
          <w:p w14:paraId="1095A86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b)宜安装过载保护器、燃气泄漏报警器、电器安全装置等电气火灾防范装置；</w:t>
            </w:r>
          </w:p>
          <w:p w14:paraId="6E889BA5">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c)对辖区内各类建筑的电器设备、电气线路每年进行全面检测，及时整改电气火灾隐患。</w:t>
            </w:r>
          </w:p>
        </w:tc>
      </w:tr>
      <w:tr w14:paraId="4AE4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00A1570B">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31218423">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05C0E43B">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电动自行车管理：</w:t>
            </w:r>
          </w:p>
          <w:p w14:paraId="5BCC298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a)电动自行车（电池）集中停放，定期开展电动自行车（电池）违规停放、违规充电治理行动；</w:t>
            </w:r>
          </w:p>
          <w:p w14:paraId="4D91743B">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b)设置符合用电安全要求的充电设施，充电场所满足DB4403/T183—2021规定的条件；</w:t>
            </w:r>
          </w:p>
          <w:p w14:paraId="0EE6EB13">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c)因客观条件无法设置集中停放、充电场所的，应加强日常管理，做好巡查、检查。</w:t>
            </w:r>
          </w:p>
        </w:tc>
      </w:tr>
      <w:tr w14:paraId="033E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6E62CFBE">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343BF38B">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04441471">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违规住人隐患整治：协助消防、街道等部门开展“三小”场所违规住人治理行动，杜绝违规搭建阁楼、堵塞疏散通道和安全出口，及时清理违规住人现象及住人设施。</w:t>
            </w:r>
          </w:p>
        </w:tc>
      </w:tr>
      <w:tr w14:paraId="605A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5BCA288A">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269085B9">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69150977">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餐饮场所管理：</w:t>
            </w:r>
          </w:p>
          <w:p w14:paraId="459EC879">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a)使用燃气的餐饮场所可燃气体浓度报警装置应安装全覆盖；</w:t>
            </w:r>
          </w:p>
          <w:p w14:paraId="5F750BC2">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b)使用瓶装燃气的餐饮场所，瓶装燃气储存总量和存储场所应符合GB50016—2014和DB44/T1591—2015的要求。</w:t>
            </w:r>
          </w:p>
        </w:tc>
      </w:tr>
      <w:tr w14:paraId="746E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446F3A6C">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1C4F807C">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居民群众</w:t>
            </w:r>
          </w:p>
          <w:p w14:paraId="0C10BA19">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管理</w:t>
            </w:r>
          </w:p>
        </w:tc>
        <w:tc>
          <w:tcPr>
            <w:tcW w:w="7543" w:type="dxa"/>
            <w:shd w:val="clear" w:color="auto" w:fill="auto"/>
            <w:vAlign w:val="center"/>
          </w:tcPr>
          <w:p w14:paraId="1A49BACD">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根据灾害风险评估结果，制定防范应对措施，制作防灾减灾明白卡，内容包括但不限于：本区域灾害隐患点基本情况、防范应对措施、分片包户负责人及联系电话、应急避难场所、预警方法、应急避难场所负责人及联系电话。</w:t>
            </w:r>
          </w:p>
        </w:tc>
      </w:tr>
      <w:tr w14:paraId="3F59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61635137">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55AC302F">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527FB872">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按照分片到户的原则，制作社区干部与居民的防灾减灾责任联系卡，内容包括但不限于：责任人、职责、片区范围、值班电话、灾情上报电话、应急避难场所负责人及联系电话、所在片区脆弱人群的紧急联系方式。</w:t>
            </w:r>
          </w:p>
        </w:tc>
      </w:tr>
      <w:tr w14:paraId="7BE1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1E4F8AAE">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60AA8CB2">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04DAA620">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按照分片到户的原则，建立包括老年人、儿童、孕妇、病患者和残障人员等在内的脆弱人群清单，明确脆弱人群地址、联系人、联系方式等信息，制定并落实脆弱人群结对帮扶救助措施、脆弱人群人员转移方案。</w:t>
            </w:r>
          </w:p>
        </w:tc>
      </w:tr>
      <w:tr w14:paraId="6EA1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Height w:val="57" w:hRule="atLeast"/>
          <w:jc w:val="center"/>
        </w:trPr>
        <w:tc>
          <w:tcPr>
            <w:tcW w:w="799" w:type="dxa"/>
            <w:gridSpan w:val="2"/>
            <w:vMerge w:val="restart"/>
            <w:shd w:val="clear" w:color="auto" w:fill="auto"/>
            <w:vAlign w:val="center"/>
          </w:tcPr>
          <w:p w14:paraId="76C37003">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预案编制</w:t>
            </w:r>
            <w:r>
              <w:rPr>
                <w:rFonts w:hint="eastAsia" w:ascii="仿宋_GB2312" w:hAnsi="仿宋_GB2312" w:eastAsia="仿宋_GB2312" w:cs="仿宋_GB2312"/>
                <w:b/>
                <w:bCs/>
                <w:i w:val="0"/>
                <w:iCs w:val="0"/>
                <w:color w:val="auto"/>
                <w:kern w:val="0"/>
                <w:sz w:val="24"/>
                <w:szCs w:val="24"/>
                <w:u w:val="none"/>
                <w:lang w:val="en-US" w:eastAsia="zh-CN" w:bidi="ar"/>
              </w:rPr>
              <w:br w:type="textWrapping"/>
            </w:r>
            <w:r>
              <w:rPr>
                <w:rFonts w:hint="eastAsia" w:ascii="仿宋_GB2312" w:hAnsi="仿宋_GB2312" w:eastAsia="仿宋_GB2312" w:cs="仿宋_GB2312"/>
                <w:b/>
                <w:bCs/>
                <w:i w:val="0"/>
                <w:iCs w:val="0"/>
                <w:color w:val="auto"/>
                <w:kern w:val="0"/>
                <w:sz w:val="24"/>
                <w:szCs w:val="24"/>
                <w:u w:val="none"/>
                <w:lang w:val="en-US" w:eastAsia="zh-CN" w:bidi="ar"/>
              </w:rPr>
              <w:t>与</w:t>
            </w:r>
            <w:r>
              <w:rPr>
                <w:rFonts w:hint="eastAsia" w:ascii="仿宋_GB2312" w:hAnsi="仿宋_GB2312" w:eastAsia="仿宋_GB2312" w:cs="仿宋_GB2312"/>
                <w:b/>
                <w:bCs/>
                <w:i w:val="0"/>
                <w:iCs w:val="0"/>
                <w:color w:val="auto"/>
                <w:kern w:val="0"/>
                <w:sz w:val="24"/>
                <w:szCs w:val="24"/>
                <w:u w:val="none"/>
                <w:lang w:val="en-US" w:eastAsia="zh-CN" w:bidi="ar"/>
              </w:rPr>
              <w:br w:type="textWrapping"/>
            </w:r>
            <w:r>
              <w:rPr>
                <w:rFonts w:hint="eastAsia" w:ascii="仿宋_GB2312" w:hAnsi="仿宋_GB2312" w:eastAsia="仿宋_GB2312" w:cs="仿宋_GB2312"/>
                <w:b/>
                <w:bCs/>
                <w:i w:val="0"/>
                <w:iCs w:val="0"/>
                <w:color w:val="auto"/>
                <w:kern w:val="0"/>
                <w:sz w:val="24"/>
                <w:szCs w:val="24"/>
                <w:u w:val="none"/>
                <w:lang w:val="en-US" w:eastAsia="zh-CN" w:bidi="ar"/>
              </w:rPr>
              <w:t>演练</w:t>
            </w:r>
          </w:p>
        </w:tc>
        <w:tc>
          <w:tcPr>
            <w:tcW w:w="1536" w:type="dxa"/>
            <w:vMerge w:val="restart"/>
            <w:shd w:val="clear" w:color="auto" w:fill="auto"/>
            <w:vAlign w:val="center"/>
          </w:tcPr>
          <w:p w14:paraId="024B254E">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防灾减灾</w:t>
            </w:r>
          </w:p>
          <w:p w14:paraId="09DD8D1B">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救灾应急</w:t>
            </w:r>
          </w:p>
          <w:p w14:paraId="2ADEEF08">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预案</w:t>
            </w:r>
          </w:p>
        </w:tc>
        <w:tc>
          <w:tcPr>
            <w:tcW w:w="7543" w:type="dxa"/>
            <w:shd w:val="clear" w:color="auto" w:fill="auto"/>
            <w:vAlign w:val="center"/>
          </w:tcPr>
          <w:p w14:paraId="3F4A93AC">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针对本辖区存在的灾害事故类型，编制社区防灾减灾救灾应急预案。</w:t>
            </w:r>
          </w:p>
        </w:tc>
      </w:tr>
      <w:tr w14:paraId="68A5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78AFEFEA">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0F3C74D8">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4F9A2B3D">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防灾减灾救灾应急预案内容包括但不限于：应急组织机构、灾害应急处置流程、灾害风险和隐患点清单、应急联络信息、应急物资清单或应急设施分布图、应急救援队伍、应急疏散路径图、脆弱人群人员清单及转移方案。</w:t>
            </w:r>
          </w:p>
        </w:tc>
      </w:tr>
      <w:tr w14:paraId="1AAE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2A602EE4">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3D0B9B40">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生产经营</w:t>
            </w:r>
          </w:p>
          <w:p w14:paraId="659944DE">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单位应急</w:t>
            </w:r>
          </w:p>
          <w:p w14:paraId="02CE0143">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预案</w:t>
            </w:r>
          </w:p>
        </w:tc>
        <w:tc>
          <w:tcPr>
            <w:tcW w:w="7543" w:type="dxa"/>
            <w:shd w:val="clear" w:color="auto" w:fill="auto"/>
            <w:vAlign w:val="center"/>
          </w:tcPr>
          <w:p w14:paraId="4422A073">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辖区内生产经营单位组织制定并实施本单位的生产安全事故应急预案，并及时更新。</w:t>
            </w:r>
          </w:p>
        </w:tc>
      </w:tr>
      <w:tr w14:paraId="6ABB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4883E528">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355A41F1">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应急演练</w:t>
            </w:r>
          </w:p>
        </w:tc>
        <w:tc>
          <w:tcPr>
            <w:tcW w:w="7543" w:type="dxa"/>
            <w:shd w:val="clear" w:color="auto" w:fill="auto"/>
            <w:vAlign w:val="center"/>
          </w:tcPr>
          <w:p w14:paraId="7555A640">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每半年至少开展1次以防汛、防台风、防地质灾害、防震、防火等突发事件或极端天气情况下的通信保障、装备使用、人员疏散、重点人群联系机制、前期处置、信息报告、警戒等为主要内容的单灾种或综合应急演练。</w:t>
            </w:r>
          </w:p>
        </w:tc>
      </w:tr>
      <w:tr w14:paraId="3A9E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061BB21B">
            <w:pPr>
              <w:jc w:val="center"/>
              <w:rPr>
                <w:rFonts w:hint="eastAsia" w:ascii="仿宋_GB2312" w:hAnsi="仿宋_GB2312" w:eastAsia="仿宋_GB2312" w:cs="仿宋_GB2312"/>
                <w:b/>
                <w:bCs/>
                <w:i w:val="0"/>
                <w:iCs w:val="0"/>
                <w:color w:val="auto"/>
                <w:sz w:val="24"/>
                <w:szCs w:val="24"/>
                <w:u w:val="none"/>
              </w:rPr>
            </w:pPr>
          </w:p>
        </w:tc>
        <w:tc>
          <w:tcPr>
            <w:tcW w:w="1536" w:type="dxa"/>
            <w:shd w:val="clear" w:color="auto" w:fill="auto"/>
            <w:vAlign w:val="center"/>
          </w:tcPr>
          <w:p w14:paraId="4DB2B7A0">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公众参与</w:t>
            </w:r>
          </w:p>
        </w:tc>
        <w:tc>
          <w:tcPr>
            <w:tcW w:w="7543" w:type="dxa"/>
            <w:shd w:val="clear" w:color="auto" w:fill="auto"/>
            <w:vAlign w:val="center"/>
          </w:tcPr>
          <w:p w14:paraId="172EE9FF">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辖区居民、企事业单位、物业管理单位、社会组织、志愿者、中小学生等宜参与应急演练活动。</w:t>
            </w:r>
          </w:p>
        </w:tc>
      </w:tr>
      <w:tr w14:paraId="5BEB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468F88D0">
            <w:pPr>
              <w:jc w:val="center"/>
              <w:rPr>
                <w:rFonts w:hint="eastAsia" w:ascii="仿宋_GB2312" w:hAnsi="仿宋_GB2312" w:eastAsia="仿宋_GB2312" w:cs="仿宋_GB2312"/>
                <w:b/>
                <w:bCs/>
                <w:i w:val="0"/>
                <w:iCs w:val="0"/>
                <w:color w:val="auto"/>
                <w:sz w:val="24"/>
                <w:szCs w:val="24"/>
                <w:u w:val="none"/>
              </w:rPr>
            </w:pPr>
          </w:p>
        </w:tc>
        <w:tc>
          <w:tcPr>
            <w:tcW w:w="1536" w:type="dxa"/>
            <w:shd w:val="clear" w:color="auto" w:fill="auto"/>
            <w:vAlign w:val="center"/>
          </w:tcPr>
          <w:p w14:paraId="431296EE">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预案修订</w:t>
            </w:r>
          </w:p>
        </w:tc>
        <w:tc>
          <w:tcPr>
            <w:tcW w:w="7543" w:type="dxa"/>
            <w:shd w:val="clear" w:color="auto" w:fill="auto"/>
            <w:vAlign w:val="center"/>
          </w:tcPr>
          <w:p w14:paraId="0EB31B9B">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社区应急预案及其他专项应急预案或行动方案每年修订1次。</w:t>
            </w:r>
          </w:p>
        </w:tc>
      </w:tr>
      <w:tr w14:paraId="288A9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restart"/>
            <w:shd w:val="clear" w:color="auto" w:fill="auto"/>
            <w:vAlign w:val="center"/>
          </w:tcPr>
          <w:p w14:paraId="7D1373E6">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应急保障</w:t>
            </w:r>
          </w:p>
        </w:tc>
        <w:tc>
          <w:tcPr>
            <w:tcW w:w="1536" w:type="dxa"/>
            <w:vMerge w:val="restart"/>
            <w:shd w:val="clear" w:color="auto" w:fill="auto"/>
            <w:vAlign w:val="center"/>
          </w:tcPr>
          <w:p w14:paraId="6C215FFD">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应急值守</w:t>
            </w:r>
          </w:p>
        </w:tc>
        <w:tc>
          <w:tcPr>
            <w:tcW w:w="7543" w:type="dxa"/>
            <w:shd w:val="clear" w:color="auto" w:fill="auto"/>
            <w:vAlign w:val="center"/>
          </w:tcPr>
          <w:p w14:paraId="455E56BA">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设应急指挥中心，设置应急指挥中心背景板。</w:t>
            </w:r>
          </w:p>
        </w:tc>
      </w:tr>
      <w:tr w14:paraId="407F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643EE30B">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762F4C01">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1012F288">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配置应急值班值守终端，接入省级应急管理值班值守系统，实行24小时值班。</w:t>
            </w:r>
          </w:p>
        </w:tc>
      </w:tr>
      <w:tr w14:paraId="0840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1ACCA63A">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529E2537">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25837A97">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配置应急通信设备，满足突发事件发生情况下应急联络需求。</w:t>
            </w:r>
          </w:p>
        </w:tc>
      </w:tr>
      <w:tr w14:paraId="2FD6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4E057532">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0FC68206">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灾害事故</w:t>
            </w:r>
          </w:p>
          <w:p w14:paraId="6F0C1592">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预警信息</w:t>
            </w:r>
          </w:p>
          <w:p w14:paraId="3F54A8B3">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发布</w:t>
            </w:r>
          </w:p>
        </w:tc>
        <w:tc>
          <w:tcPr>
            <w:tcW w:w="7543" w:type="dxa"/>
            <w:shd w:val="clear" w:color="auto" w:fill="auto"/>
            <w:vAlign w:val="center"/>
          </w:tcPr>
          <w:p w14:paraId="28688391">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在重点风险区域配置监测预警设备设施，实时监控辖区内自然灾害、生产安全、火灾、高空坠物等风险，迅速发布当地气象、洪涝、地质、火灾等灾害事故预警信息。</w:t>
            </w:r>
          </w:p>
        </w:tc>
      </w:tr>
      <w:tr w14:paraId="0BDD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555A45D0">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3FF9C93E">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应急避难</w:t>
            </w:r>
          </w:p>
          <w:p w14:paraId="4F5C4C19">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场所</w:t>
            </w:r>
          </w:p>
        </w:tc>
        <w:tc>
          <w:tcPr>
            <w:tcW w:w="7543" w:type="dxa"/>
            <w:shd w:val="clear" w:color="auto" w:fill="auto"/>
            <w:vAlign w:val="center"/>
          </w:tcPr>
          <w:p w14:paraId="18F1809D">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设有符合要求的应急避难场所，可充分利用现有应急避难场所设施，对于辖区内未设置应急避难场所的，按照就近避险原则，与邻近社区确定应急避难场所使用条件。</w:t>
            </w:r>
          </w:p>
        </w:tc>
      </w:tr>
      <w:tr w14:paraId="4EB8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7864B851">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5E7465A1">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6D7C5CA9">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根据要求制作应急避难场所功能分区图，并张贴在醒目位置。</w:t>
            </w:r>
          </w:p>
        </w:tc>
      </w:tr>
      <w:tr w14:paraId="5A69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4D5BE519">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5CD83A20">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2CA24AF1">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根据要求制作应急疏散路径图，并张贴在醒目位置。</w:t>
            </w:r>
          </w:p>
        </w:tc>
      </w:tr>
      <w:tr w14:paraId="0D85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4AC056EC">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2860D017">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1F0A2456">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根据要求制作应急避难场所标志，并设置在关键路口、主入口等位置。</w:t>
            </w:r>
          </w:p>
        </w:tc>
      </w:tr>
      <w:tr w14:paraId="5AB5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3499B0DD">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04877258">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应急物资</w:t>
            </w:r>
          </w:p>
          <w:p w14:paraId="37220AB1">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储备</w:t>
            </w:r>
          </w:p>
        </w:tc>
        <w:tc>
          <w:tcPr>
            <w:tcW w:w="7543" w:type="dxa"/>
            <w:shd w:val="clear" w:color="auto" w:fill="auto"/>
            <w:vAlign w:val="center"/>
          </w:tcPr>
          <w:p w14:paraId="29517203">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设置应急物资储备仓库，宜配置防护类用品、通讯类设备、救援类设备、生活类物资、抢险类装备等应急物资，并做好日常管理维护和更新。</w:t>
            </w:r>
          </w:p>
        </w:tc>
      </w:tr>
      <w:tr w14:paraId="5F91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1A46E50E">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0F05F979">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6904138C">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建立应急物资社会储备机制，与社区内及邻近超市、企业等合作开展救灾应急物资协议储备。</w:t>
            </w:r>
          </w:p>
        </w:tc>
      </w:tr>
      <w:tr w14:paraId="56A1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312844BF">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3FB5ABD7">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44F52FF5">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根据《深圳市家庭应急物资储备建议清单》，引导居民家庭储备必要的应急物品，推广使用家庭应急包、综合急救包等。</w:t>
            </w:r>
          </w:p>
        </w:tc>
      </w:tr>
      <w:tr w14:paraId="2592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2E19FABB">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4F5F0DF9">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11BA8A82">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在辖区内易涝点等灾害隐患点储备应急救援装备。</w:t>
            </w:r>
          </w:p>
        </w:tc>
      </w:tr>
      <w:tr w14:paraId="77A7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3B39FE04">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1D1FA534">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社区医疗</w:t>
            </w:r>
          </w:p>
          <w:p w14:paraId="1A7C38FB">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救护站</w:t>
            </w:r>
          </w:p>
        </w:tc>
        <w:tc>
          <w:tcPr>
            <w:tcW w:w="7543" w:type="dxa"/>
            <w:shd w:val="clear" w:color="auto" w:fill="auto"/>
            <w:vAlign w:val="center"/>
          </w:tcPr>
          <w:p w14:paraId="6FC6D1B6">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社区范围内设有可提供医疗救护服务的社区医疗救护站。</w:t>
            </w:r>
          </w:p>
        </w:tc>
      </w:tr>
      <w:tr w14:paraId="7E9A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4E63BEFB">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6E78AD4E">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341F9F9F">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推广AED配备计划，引导社区一线工作人员和志愿者学习掌握心肺复苏等急救技能。</w:t>
            </w:r>
          </w:p>
        </w:tc>
      </w:tr>
      <w:tr w14:paraId="497E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312" w:hRule="atLeast"/>
          <w:jc w:val="center"/>
        </w:trPr>
        <w:tc>
          <w:tcPr>
            <w:tcW w:w="799" w:type="dxa"/>
            <w:gridSpan w:val="2"/>
            <w:vMerge w:val="continue"/>
            <w:shd w:val="clear" w:color="auto" w:fill="auto"/>
            <w:vAlign w:val="center"/>
          </w:tcPr>
          <w:p w14:paraId="1CD49E37">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5D28275B">
            <w:pPr>
              <w:jc w:val="center"/>
              <w:rPr>
                <w:rFonts w:hint="eastAsia" w:ascii="仿宋_GB2312" w:hAnsi="仿宋_GB2312" w:eastAsia="仿宋_GB2312" w:cs="仿宋_GB2312"/>
                <w:b/>
                <w:bCs/>
                <w:i w:val="0"/>
                <w:iCs w:val="0"/>
                <w:color w:val="auto"/>
                <w:sz w:val="24"/>
                <w:szCs w:val="24"/>
                <w:u w:val="none"/>
              </w:rPr>
            </w:pPr>
          </w:p>
        </w:tc>
        <w:tc>
          <w:tcPr>
            <w:tcW w:w="7543" w:type="dxa"/>
            <w:vMerge w:val="restart"/>
            <w:shd w:val="clear" w:color="auto" w:fill="auto"/>
            <w:vAlign w:val="center"/>
          </w:tcPr>
          <w:p w14:paraId="4F44015B">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整合辖区物业管理单位、社康中心、楼栋长、网格员等资源，建立“应急第一响应人”机制。</w:t>
            </w:r>
          </w:p>
        </w:tc>
      </w:tr>
      <w:tr w14:paraId="6E1A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312" w:hRule="atLeast"/>
          <w:jc w:val="center"/>
        </w:trPr>
        <w:tc>
          <w:tcPr>
            <w:tcW w:w="799" w:type="dxa"/>
            <w:gridSpan w:val="2"/>
            <w:vMerge w:val="continue"/>
            <w:shd w:val="clear" w:color="auto" w:fill="auto"/>
            <w:vAlign w:val="center"/>
          </w:tcPr>
          <w:p w14:paraId="4ECEA488">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439CF87C">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消防设施</w:t>
            </w:r>
          </w:p>
          <w:p w14:paraId="75F58716">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设备</w:t>
            </w:r>
          </w:p>
        </w:tc>
        <w:tc>
          <w:tcPr>
            <w:tcW w:w="7543" w:type="dxa"/>
            <w:vMerge w:val="restart"/>
            <w:shd w:val="clear" w:color="auto" w:fill="auto"/>
            <w:vAlign w:val="center"/>
          </w:tcPr>
          <w:p w14:paraId="34D21268">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辖区建设符合要求的市政消火栓，各类建筑设置符合要求的消防设施。</w:t>
            </w:r>
          </w:p>
        </w:tc>
      </w:tr>
      <w:tr w14:paraId="1377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5A2EE672">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58B77D99">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195F14AF">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定期对消防设施设备进行检测和维护保养，确保完好有效。</w:t>
            </w:r>
          </w:p>
        </w:tc>
      </w:tr>
      <w:tr w14:paraId="3DA4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7A5C2CA3">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103F41A5">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33505AC1">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设有符合建设要求的社区微型消防站。</w:t>
            </w:r>
          </w:p>
        </w:tc>
      </w:tr>
      <w:tr w14:paraId="0679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40B39556">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4E70C12C">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18B6106F">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社区微型消防站配有接受过基本灭火技能训练的人员，至少6人以上。</w:t>
            </w:r>
          </w:p>
        </w:tc>
      </w:tr>
      <w:tr w14:paraId="1148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6D655D14">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3673920D">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0D517134">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建筑之间不违章搭建建（构）筑物，不占用防火间距、消防车作业场地，不设置遮挡排烟窗（口）或影响消防扑救的障碍物。</w:t>
            </w:r>
          </w:p>
        </w:tc>
      </w:tr>
      <w:tr w14:paraId="5278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24C5027F">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4C216E86">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5E40CED1">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定期开展消防车通道和居民楼内疏散通道、安全出口检查。</w:t>
            </w:r>
          </w:p>
        </w:tc>
      </w:tr>
      <w:tr w14:paraId="4A2B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399E30D1">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0F2F66C2">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02A2B500">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居住区绿化应避免遮挡排烟窗（口）或对消防扑救造成影响。</w:t>
            </w:r>
          </w:p>
        </w:tc>
      </w:tr>
      <w:tr w14:paraId="5231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3E6DFFE2">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730258B4">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抗震设防</w:t>
            </w:r>
          </w:p>
        </w:tc>
        <w:tc>
          <w:tcPr>
            <w:tcW w:w="7543" w:type="dxa"/>
            <w:shd w:val="clear" w:color="auto" w:fill="auto"/>
            <w:vAlign w:val="center"/>
          </w:tcPr>
          <w:p w14:paraId="64733128">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辖区内学校、医院、生命线系统等重点设防类目标应按高于本地区抗震设防烈度一度的要求加强抗震措施。</w:t>
            </w:r>
          </w:p>
        </w:tc>
      </w:tr>
      <w:tr w14:paraId="6DAF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6DAAD28F">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019FBA22">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7C7CA37C">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其他工程应达到《地震安全性评价管理条例（2019年修正本）》、GB50223等规定的抗震设防要求。</w:t>
            </w:r>
          </w:p>
        </w:tc>
      </w:tr>
      <w:tr w14:paraId="29CC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restart"/>
            <w:shd w:val="clear" w:color="auto" w:fill="auto"/>
            <w:vAlign w:val="center"/>
          </w:tcPr>
          <w:p w14:paraId="09ED65B0">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宣传教育</w:t>
            </w:r>
          </w:p>
        </w:tc>
        <w:tc>
          <w:tcPr>
            <w:tcW w:w="1536" w:type="dxa"/>
            <w:vMerge w:val="restart"/>
            <w:shd w:val="clear" w:color="auto" w:fill="auto"/>
            <w:vAlign w:val="center"/>
          </w:tcPr>
          <w:p w14:paraId="62D0F5AF">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宣传教育</w:t>
            </w:r>
          </w:p>
          <w:p w14:paraId="72D07E14">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场地</w:t>
            </w:r>
          </w:p>
        </w:tc>
        <w:tc>
          <w:tcPr>
            <w:tcW w:w="7543" w:type="dxa"/>
            <w:shd w:val="clear" w:color="auto" w:fill="auto"/>
            <w:vAlign w:val="center"/>
          </w:tcPr>
          <w:p w14:paraId="35113272">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有相对固定的科普宣传教育场地。</w:t>
            </w:r>
          </w:p>
        </w:tc>
      </w:tr>
      <w:tr w14:paraId="3EE2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30B51C0E">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01DA936E">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5567E93D">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定期向社会开放科普宣传教育场地，为中小学生、老年人、残疾人等不同社会群体提供科普宣传教育服务，尤其是避险技能的培训宣传。</w:t>
            </w:r>
          </w:p>
        </w:tc>
      </w:tr>
      <w:tr w14:paraId="2402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0FA1FF22">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47E33DCA">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宣传教育</w:t>
            </w:r>
          </w:p>
          <w:p w14:paraId="6374DC98">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专区</w:t>
            </w:r>
          </w:p>
        </w:tc>
        <w:tc>
          <w:tcPr>
            <w:tcW w:w="7543" w:type="dxa"/>
            <w:shd w:val="clear" w:color="auto" w:fill="auto"/>
            <w:vAlign w:val="center"/>
          </w:tcPr>
          <w:p w14:paraId="0F25FFD9">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设置防灾减灾救灾科普宣传教育专区。</w:t>
            </w:r>
          </w:p>
        </w:tc>
      </w:tr>
      <w:tr w14:paraId="6B5B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7BD92E52">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022FC833">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7AE55C37">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张贴防灾减灾救灾法律法规和有关常识、综合减灾工作领导组织机构、综合减灾规章制度、灾害风险地图、隐患清单、应急处置流程图等宣传挂图。</w:t>
            </w:r>
          </w:p>
        </w:tc>
      </w:tr>
      <w:tr w14:paraId="1BE9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1FF881A3">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721CF40A">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经常性宣</w:t>
            </w:r>
          </w:p>
          <w:p w14:paraId="55D024AF">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传教育</w:t>
            </w:r>
          </w:p>
        </w:tc>
        <w:tc>
          <w:tcPr>
            <w:tcW w:w="7543" w:type="dxa"/>
            <w:shd w:val="clear" w:color="auto" w:fill="auto"/>
            <w:vAlign w:val="center"/>
          </w:tcPr>
          <w:p w14:paraId="65688993">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充分发挥广播、电视、网络、手机、电子显示屏、学习强安App等载体作用，做好经常性综合减灾科普宣传教育。</w:t>
            </w:r>
          </w:p>
        </w:tc>
      </w:tr>
      <w:tr w14:paraId="05F0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77D9F76C">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4431DA19">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79ECFA70">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针对高层建筑和人员密集场所，制作简明应急逃生宣传片或宣传卡，加深访客对建筑或场所的认识，并在内部进行广泛宣传。</w:t>
            </w:r>
          </w:p>
        </w:tc>
      </w:tr>
      <w:tr w14:paraId="04FC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2DD0D74A">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112A6085">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08AA1FB9">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利用现有宣传栏或新设立宣传栏，每年至少开展4期防灾减灾救灾宣传，每期1个月。</w:t>
            </w:r>
          </w:p>
        </w:tc>
      </w:tr>
      <w:tr w14:paraId="3B1C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683A7CF6">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2D36759A">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公众培训</w:t>
            </w:r>
          </w:p>
          <w:p w14:paraId="1D00A45D">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和宣传教</w:t>
            </w:r>
          </w:p>
          <w:p w14:paraId="23B88E07">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育</w:t>
            </w:r>
          </w:p>
        </w:tc>
        <w:tc>
          <w:tcPr>
            <w:tcW w:w="7543" w:type="dxa"/>
            <w:shd w:val="clear" w:color="auto" w:fill="auto"/>
            <w:vAlign w:val="center"/>
          </w:tcPr>
          <w:p w14:paraId="3AF50474">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每季度至少开展1次综合减灾培训或科普宣传教育活动。</w:t>
            </w:r>
          </w:p>
        </w:tc>
      </w:tr>
      <w:tr w14:paraId="640F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379F9B22">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noWrap/>
            <w:vAlign w:val="center"/>
          </w:tcPr>
          <w:p w14:paraId="177A3210">
            <w:pPr>
              <w:jc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654FF267">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制作并发放社区和家庭防灾减灾救灾手册。</w:t>
            </w:r>
          </w:p>
        </w:tc>
      </w:tr>
      <w:tr w14:paraId="1B37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30C78E27">
            <w:pPr>
              <w:jc w:val="center"/>
              <w:rPr>
                <w:rFonts w:hint="eastAsia" w:ascii="仿宋_GB2312" w:hAnsi="仿宋_GB2312" w:eastAsia="仿宋_GB2312" w:cs="仿宋_GB2312"/>
                <w:b/>
                <w:bCs/>
                <w:i w:val="0"/>
                <w:iCs w:val="0"/>
                <w:color w:val="auto"/>
                <w:sz w:val="24"/>
                <w:szCs w:val="24"/>
                <w:u w:val="none"/>
              </w:rPr>
            </w:pPr>
          </w:p>
        </w:tc>
        <w:tc>
          <w:tcPr>
            <w:tcW w:w="1536" w:type="dxa"/>
            <w:vMerge w:val="restart"/>
            <w:shd w:val="clear" w:color="auto" w:fill="auto"/>
            <w:vAlign w:val="center"/>
          </w:tcPr>
          <w:p w14:paraId="633DD825">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社区工作</w:t>
            </w:r>
          </w:p>
          <w:p w14:paraId="13513D65">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人员培训</w:t>
            </w:r>
          </w:p>
        </w:tc>
        <w:tc>
          <w:tcPr>
            <w:tcW w:w="7543" w:type="dxa"/>
            <w:shd w:val="clear" w:color="auto" w:fill="auto"/>
            <w:vAlign w:val="center"/>
          </w:tcPr>
          <w:p w14:paraId="604AC518">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针对社区工作站（居委会）工作人员，每季度至少开展1次综合减灾培训。</w:t>
            </w:r>
          </w:p>
        </w:tc>
      </w:tr>
      <w:tr w14:paraId="5135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61DACFB7">
            <w:pPr>
              <w:jc w:val="center"/>
              <w:rPr>
                <w:rFonts w:hint="eastAsia" w:ascii="仿宋_GB2312" w:hAnsi="仿宋_GB2312" w:eastAsia="仿宋_GB2312" w:cs="仿宋_GB2312"/>
                <w:b/>
                <w:bCs/>
                <w:i w:val="0"/>
                <w:iCs w:val="0"/>
                <w:color w:val="auto"/>
                <w:sz w:val="24"/>
                <w:szCs w:val="24"/>
                <w:u w:val="none"/>
              </w:rPr>
            </w:pPr>
          </w:p>
        </w:tc>
        <w:tc>
          <w:tcPr>
            <w:tcW w:w="1536" w:type="dxa"/>
            <w:vMerge w:val="continue"/>
            <w:shd w:val="clear" w:color="auto" w:fill="auto"/>
            <w:vAlign w:val="center"/>
          </w:tcPr>
          <w:p w14:paraId="3D4F2E7B">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p>
        </w:tc>
        <w:tc>
          <w:tcPr>
            <w:tcW w:w="7543" w:type="dxa"/>
            <w:shd w:val="clear" w:color="auto" w:fill="auto"/>
            <w:vAlign w:val="center"/>
          </w:tcPr>
          <w:p w14:paraId="4B9C4CF6">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社区工作站（居委会）工作人员每年完成1次综合减灾培训。</w:t>
            </w:r>
          </w:p>
        </w:tc>
      </w:tr>
      <w:tr w14:paraId="7907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7" w:hRule="atLeast"/>
          <w:jc w:val="center"/>
        </w:trPr>
        <w:tc>
          <w:tcPr>
            <w:tcW w:w="799" w:type="dxa"/>
            <w:gridSpan w:val="2"/>
            <w:vMerge w:val="continue"/>
            <w:shd w:val="clear" w:color="auto" w:fill="auto"/>
            <w:vAlign w:val="center"/>
          </w:tcPr>
          <w:p w14:paraId="5E5EFF0B">
            <w:pPr>
              <w:jc w:val="center"/>
              <w:rPr>
                <w:rFonts w:hint="eastAsia" w:ascii="仿宋_GB2312" w:hAnsi="仿宋_GB2312" w:eastAsia="仿宋_GB2312" w:cs="仿宋_GB2312"/>
                <w:b/>
                <w:bCs/>
                <w:i w:val="0"/>
                <w:iCs w:val="0"/>
                <w:color w:val="auto"/>
                <w:sz w:val="24"/>
                <w:szCs w:val="24"/>
                <w:u w:val="none"/>
              </w:rPr>
            </w:pPr>
          </w:p>
        </w:tc>
        <w:tc>
          <w:tcPr>
            <w:tcW w:w="1536" w:type="dxa"/>
            <w:shd w:val="clear" w:color="auto" w:fill="auto"/>
            <w:vAlign w:val="center"/>
          </w:tcPr>
          <w:p w14:paraId="25F2AD56">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公众开放</w:t>
            </w:r>
          </w:p>
          <w:p w14:paraId="1ADDBEC2">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日</w:t>
            </w:r>
          </w:p>
        </w:tc>
        <w:tc>
          <w:tcPr>
            <w:tcW w:w="7543" w:type="dxa"/>
            <w:shd w:val="clear" w:color="auto" w:fill="auto"/>
            <w:vAlign w:val="center"/>
          </w:tcPr>
          <w:p w14:paraId="23FC09DF">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组织开展“公众开放日”活动，搭建居民、企业、政府互动机制，邀请居民走进企业，邀请居民、企业走进政府。</w:t>
            </w:r>
          </w:p>
        </w:tc>
      </w:tr>
      <w:tr w14:paraId="0D02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Height w:val="57" w:hRule="atLeast"/>
          <w:jc w:val="center"/>
        </w:trPr>
        <w:tc>
          <w:tcPr>
            <w:tcW w:w="799" w:type="dxa"/>
            <w:gridSpan w:val="2"/>
            <w:shd w:val="clear" w:color="auto" w:fill="auto"/>
            <w:vAlign w:val="center"/>
          </w:tcPr>
          <w:p w14:paraId="2CA76F6C">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亮点建设</w:t>
            </w:r>
          </w:p>
        </w:tc>
        <w:tc>
          <w:tcPr>
            <w:tcW w:w="9079" w:type="dxa"/>
            <w:gridSpan w:val="2"/>
            <w:shd w:val="clear" w:color="auto" w:fill="auto"/>
            <w:vAlign w:val="center"/>
          </w:tcPr>
          <w:p w14:paraId="0A4EA791">
            <w:pPr>
              <w:keepNext w:val="0"/>
              <w:keepLines w:val="0"/>
              <w:widowControl/>
              <w:suppressLineNumbers w:val="0"/>
              <w:jc w:val="left"/>
              <w:textAlignment w:val="center"/>
              <w:rPr>
                <w:rFonts w:hint="eastAsia" w:ascii="仿宋_GB2312" w:hAnsi="仿宋_GB2312" w:eastAsia="仿宋_GB2312" w:cs="仿宋_GB2312"/>
                <w:b w:val="0"/>
                <w:bCs w:val="0"/>
                <w:i w:val="0"/>
                <w:iCs w:val="0"/>
                <w:color w:val="auto"/>
                <w:sz w:val="24"/>
                <w:szCs w:val="24"/>
                <w:u w:val="none"/>
              </w:rPr>
            </w:pPr>
            <w:r>
              <w:rPr>
                <w:rFonts w:hint="eastAsia" w:ascii="仿宋_GB2312" w:hAnsi="仿宋_GB2312" w:eastAsia="仿宋_GB2312" w:cs="仿宋_GB2312"/>
                <w:b w:val="0"/>
                <w:bCs w:val="0"/>
                <w:i w:val="0"/>
                <w:iCs w:val="0"/>
                <w:color w:val="auto"/>
                <w:kern w:val="0"/>
                <w:sz w:val="24"/>
                <w:szCs w:val="24"/>
                <w:u w:val="none"/>
                <w:lang w:val="en-US" w:eastAsia="zh-CN" w:bidi="ar"/>
              </w:rPr>
              <w:t>加强与高校、科研院所、科技企业等开展防灾减灾救灾领域的沟通交流，承接国家、省科研课题项目试点任务，并取得明显效果。</w:t>
            </w:r>
          </w:p>
        </w:tc>
      </w:tr>
    </w:tbl>
    <w:p w14:paraId="0CE25FB1">
      <w:pPr>
        <w:spacing w:line="560" w:lineRule="exact"/>
        <w:rPr>
          <w:rFonts w:hint="default" w:ascii="方正小标宋简体" w:hAnsi="方正小标宋简体" w:eastAsia="方正小标宋简体" w:cs="方正小标宋简体"/>
          <w:sz w:val="44"/>
          <w:szCs w:val="44"/>
          <w:lang w:val="en-US" w:eastAsia="zh-CN"/>
        </w:rPr>
      </w:pPr>
    </w:p>
    <w:p w14:paraId="7000265C">
      <w:pPr>
        <w:pStyle w:val="6"/>
        <w:autoSpaceDE/>
        <w:autoSpaceDN/>
        <w:spacing w:line="560" w:lineRule="exact"/>
        <w:ind w:left="0"/>
        <w:jc w:val="center"/>
        <w:rPr>
          <w:rFonts w:hint="eastAsia" w:ascii="黑体" w:hAnsi="黑体" w:eastAsia="黑体" w:cs="黑体"/>
          <w:lang w:val="en-US" w:eastAsia="zh-CN"/>
        </w:rPr>
      </w:pPr>
    </w:p>
    <w:sectPr>
      <w:footerReference r:id="rId3" w:type="default"/>
      <w:pgSz w:w="11906" w:h="16838"/>
      <w:pgMar w:top="1361" w:right="1361" w:bottom="1361" w:left="136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D09ED8-27B4-4ADE-8302-491533A2A0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C769B219-6F1D-4C48-8FD9-23C844938F8A}"/>
  </w:font>
  <w:font w:name="方正小标宋简体">
    <w:panose1 w:val="02000000000000000000"/>
    <w:charset w:val="86"/>
    <w:family w:val="auto"/>
    <w:pitch w:val="default"/>
    <w:sig w:usb0="00000001" w:usb1="08000000" w:usb2="00000000" w:usb3="00000000" w:csb0="00040000" w:csb1="00000000"/>
    <w:embedRegular r:id="rId3" w:fontKey="{B4791280-C80C-4E3A-ADF7-1803781EA5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6EEFF">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3687C">
                          <w:pPr>
                            <w:pStyle w:val="7"/>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F33687C">
                    <w:pPr>
                      <w:pStyle w:val="7"/>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kZjQ5MzI0NWIxNWYwOTgzNTAxMDk5Nzg3ODBiYWMifQ=="/>
  </w:docVars>
  <w:rsids>
    <w:rsidRoot w:val="26C81D80"/>
    <w:rsid w:val="008E2A0E"/>
    <w:rsid w:val="03BE7AAE"/>
    <w:rsid w:val="04180F6C"/>
    <w:rsid w:val="05AC3DC1"/>
    <w:rsid w:val="066B5258"/>
    <w:rsid w:val="0ACE4A7B"/>
    <w:rsid w:val="0B5F595F"/>
    <w:rsid w:val="0BC62CE6"/>
    <w:rsid w:val="0E625C06"/>
    <w:rsid w:val="0FC67C56"/>
    <w:rsid w:val="109B57E8"/>
    <w:rsid w:val="123F7719"/>
    <w:rsid w:val="12656690"/>
    <w:rsid w:val="13114FB8"/>
    <w:rsid w:val="193755E9"/>
    <w:rsid w:val="19BF7875"/>
    <w:rsid w:val="1F2E38E2"/>
    <w:rsid w:val="20AB7F43"/>
    <w:rsid w:val="217D495F"/>
    <w:rsid w:val="26C81D80"/>
    <w:rsid w:val="288325A9"/>
    <w:rsid w:val="28CD0C89"/>
    <w:rsid w:val="29332221"/>
    <w:rsid w:val="299627B0"/>
    <w:rsid w:val="2A7339F7"/>
    <w:rsid w:val="2F852D95"/>
    <w:rsid w:val="30687C32"/>
    <w:rsid w:val="312F7772"/>
    <w:rsid w:val="32E343D9"/>
    <w:rsid w:val="33923FE8"/>
    <w:rsid w:val="339C09C3"/>
    <w:rsid w:val="35FC7E3E"/>
    <w:rsid w:val="39FB633F"/>
    <w:rsid w:val="3A057993"/>
    <w:rsid w:val="3A1D5E7F"/>
    <w:rsid w:val="3B2C4272"/>
    <w:rsid w:val="3B885C84"/>
    <w:rsid w:val="3BA66882"/>
    <w:rsid w:val="3C6504EB"/>
    <w:rsid w:val="3DDD0555"/>
    <w:rsid w:val="402D5F84"/>
    <w:rsid w:val="402E5098"/>
    <w:rsid w:val="404733DB"/>
    <w:rsid w:val="439E60B3"/>
    <w:rsid w:val="43BC417A"/>
    <w:rsid w:val="44DC3315"/>
    <w:rsid w:val="45EB2D42"/>
    <w:rsid w:val="46AE2151"/>
    <w:rsid w:val="48530403"/>
    <w:rsid w:val="49ED38CE"/>
    <w:rsid w:val="4AFD5FB8"/>
    <w:rsid w:val="4B4856D1"/>
    <w:rsid w:val="4C974A11"/>
    <w:rsid w:val="4E0A0EF3"/>
    <w:rsid w:val="51B1799A"/>
    <w:rsid w:val="55EE4C56"/>
    <w:rsid w:val="56C53855"/>
    <w:rsid w:val="59192FF6"/>
    <w:rsid w:val="59747B68"/>
    <w:rsid w:val="5A117165"/>
    <w:rsid w:val="5B372BFB"/>
    <w:rsid w:val="5DCA4203"/>
    <w:rsid w:val="5EE56057"/>
    <w:rsid w:val="64104931"/>
    <w:rsid w:val="64F26E3B"/>
    <w:rsid w:val="65866BAB"/>
    <w:rsid w:val="65A25A5D"/>
    <w:rsid w:val="67B03FA9"/>
    <w:rsid w:val="69DF5D0B"/>
    <w:rsid w:val="6AC67AF8"/>
    <w:rsid w:val="6DA915F7"/>
    <w:rsid w:val="71F32978"/>
    <w:rsid w:val="764A3CD3"/>
    <w:rsid w:val="777D7E63"/>
    <w:rsid w:val="7BFF730D"/>
    <w:rsid w:val="7C0D5865"/>
    <w:rsid w:val="7C0F0D62"/>
    <w:rsid w:val="7C7E46D6"/>
    <w:rsid w:val="7E635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spacing w:beforeLines="0" w:beforeAutospacing="0" w:afterLines="0" w:afterAutospacing="0" w:line="560" w:lineRule="exact"/>
      <w:ind w:firstLine="1044" w:firstLineChars="200"/>
      <w:outlineLvl w:val="0"/>
    </w:pPr>
    <w:rPr>
      <w:rFonts w:ascii="黑体" w:hAnsi="黑体" w:eastAsia="黑体" w:cs="黑体"/>
      <w:kern w:val="44"/>
    </w:rPr>
  </w:style>
  <w:style w:type="paragraph" w:styleId="3">
    <w:name w:val="heading 2"/>
    <w:basedOn w:val="1"/>
    <w:next w:val="1"/>
    <w:unhideWhenUsed/>
    <w:qFormat/>
    <w:uiPriority w:val="0"/>
    <w:pPr>
      <w:keepNext w:val="0"/>
      <w:keepLines w:val="0"/>
      <w:spacing w:after="0" w:line="560" w:lineRule="exact"/>
      <w:ind w:right="0" w:firstLine="200" w:firstLineChars="200"/>
      <w:outlineLvl w:val="1"/>
    </w:pPr>
    <w:rPr>
      <w:rFonts w:ascii="楷体_GB2312" w:hAnsi="楷体_GB2312" w:eastAsia="楷体_GB2312" w:cs="楷体_GB231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next w:val="1"/>
    <w:qFormat/>
    <w:uiPriority w:val="1"/>
    <w:pPr>
      <w:widowControl w:val="0"/>
      <w:autoSpaceDE w:val="0"/>
      <w:autoSpaceDN w:val="0"/>
      <w:ind w:left="106"/>
    </w:pPr>
    <w:rPr>
      <w:rFonts w:ascii="仿宋_GB2312" w:hAnsi="仿宋_GB2312" w:eastAsia="仿宋_GB2312" w:cs="仿宋_GB2312"/>
      <w:sz w:val="32"/>
      <w:szCs w:val="32"/>
      <w:lang w:val="zh-CN" w:eastAsia="zh-CN" w:bidi="zh-CN"/>
    </w:rPr>
  </w:style>
  <w:style w:type="paragraph" w:styleId="7">
    <w:name w:val="footer"/>
    <w:basedOn w:val="1"/>
    <w:qFormat/>
    <w:uiPriority w:val="0"/>
    <w:pPr>
      <w:tabs>
        <w:tab w:val="center" w:pos="4153"/>
        <w:tab w:val="right" w:pos="8306"/>
      </w:tabs>
      <w:snapToGrid w:val="0"/>
      <w:jc w:val="left"/>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5806</Words>
  <Characters>5918</Characters>
  <Lines>0</Lines>
  <Paragraphs>0</Paragraphs>
  <TotalTime>5</TotalTime>
  <ScaleCrop>false</ScaleCrop>
  <LinksUpToDate>false</LinksUpToDate>
  <CharactersWithSpaces>5918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2024-10-08T02:32:00Z</dcterms:created>
  <dc:creator>yua</dc:creator>
  <cp:lastModifiedBy>爱守护1401552069</cp:lastModifiedBy>
  <dcterms:modified xsi:type="dcterms:W3CDTF">2024-10-11T09:14:04Z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E5E7E93E73D645C6AB3706310EE400BC_13</vt:lpwstr>
  </property>
</Properties>
</file>