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640"/>
      </w:pPr>
    </w:p>
    <w:p>
      <w:pPr>
        <w:ind w:firstLine="640"/>
      </w:pPr>
      <w:bookmarkStart w:id="53" w:name="_GoBack"/>
    </w:p>
    <w:bookmarkEnd w:id="53"/>
    <w:p>
      <w:pPr>
        <w:ind w:firstLine="640"/>
      </w:pPr>
    </w:p>
    <w:p>
      <w:pPr>
        <w:ind w:firstLine="640"/>
      </w:pPr>
    </w:p>
    <w:p>
      <w:pPr>
        <w:ind w:firstLine="640"/>
      </w:pPr>
    </w:p>
    <w:p>
      <w:pPr>
        <w:ind w:firstLine="640"/>
      </w:pPr>
    </w:p>
    <w:p>
      <w:pPr>
        <w:ind w:firstLine="640"/>
      </w:pPr>
    </w:p>
    <w:p>
      <w:pPr>
        <w:ind w:firstLine="0" w:firstLineChars="0"/>
        <w:jc w:val="center"/>
        <w:rPr>
          <w:rFonts w:ascii="方正小标宋简体" w:hAnsi="宋体" w:eastAsia="方正小标宋简体" w:cs="Arial"/>
          <w:sz w:val="44"/>
          <w:szCs w:val="44"/>
        </w:rPr>
      </w:pPr>
      <w:r>
        <w:rPr>
          <w:rFonts w:hint="eastAsia" w:ascii="方正小标宋简体" w:hAnsi="宋体" w:eastAsia="方正小标宋简体" w:cs="Arial"/>
          <w:sz w:val="44"/>
          <w:szCs w:val="44"/>
        </w:rPr>
        <w:t>2</w:t>
      </w:r>
      <w:r>
        <w:rPr>
          <w:rFonts w:ascii="方正小标宋简体" w:hAnsi="宋体" w:eastAsia="方正小标宋简体" w:cs="Arial"/>
          <w:sz w:val="44"/>
          <w:szCs w:val="44"/>
        </w:rPr>
        <w:t>021</w:t>
      </w:r>
      <w:r>
        <w:rPr>
          <w:rFonts w:hint="eastAsia" w:ascii="方正小标宋简体" w:hAnsi="宋体" w:eastAsia="方正小标宋简体" w:cs="Arial"/>
          <w:sz w:val="44"/>
          <w:szCs w:val="44"/>
        </w:rPr>
        <w:t>年度信息系统维护项目支出</w:t>
      </w:r>
    </w:p>
    <w:p>
      <w:pPr>
        <w:ind w:firstLine="0" w:firstLineChars="0"/>
        <w:jc w:val="center"/>
        <w:rPr>
          <w:rFonts w:ascii="方正小标宋简体" w:hAnsi="Arial" w:eastAsia="方正小标宋简体" w:cs="Arial"/>
          <w:sz w:val="44"/>
          <w:szCs w:val="44"/>
        </w:rPr>
      </w:pPr>
      <w:r>
        <w:rPr>
          <w:rFonts w:hint="eastAsia" w:ascii="方正小标宋简体" w:hAnsi="宋体" w:eastAsia="方正小标宋简体" w:cs="Arial"/>
          <w:sz w:val="44"/>
          <w:szCs w:val="44"/>
        </w:rPr>
        <w:t>绩效评价报告</w:t>
      </w:r>
    </w:p>
    <w:p>
      <w:pPr>
        <w:ind w:firstLine="640"/>
      </w:pPr>
    </w:p>
    <w:p>
      <w:pPr>
        <w:ind w:firstLine="640"/>
      </w:pPr>
    </w:p>
    <w:p>
      <w:pPr>
        <w:ind w:firstLine="640"/>
      </w:pPr>
    </w:p>
    <w:p>
      <w:pPr>
        <w:ind w:firstLine="640"/>
      </w:pPr>
    </w:p>
    <w:p>
      <w:pPr>
        <w:ind w:firstLine="640"/>
      </w:pPr>
    </w:p>
    <w:p>
      <w:pPr>
        <w:ind w:firstLine="640"/>
      </w:pPr>
    </w:p>
    <w:p>
      <w:pPr>
        <w:ind w:firstLine="640"/>
      </w:pPr>
    </w:p>
    <w:p>
      <w:pPr>
        <w:ind w:firstLine="640"/>
      </w:pPr>
    </w:p>
    <w:p>
      <w:pPr>
        <w:ind w:firstLine="640"/>
      </w:pPr>
    </w:p>
    <w:p>
      <w:pPr>
        <w:ind w:firstLine="640"/>
      </w:pPr>
    </w:p>
    <w:p>
      <w:pPr>
        <w:ind w:firstLine="640"/>
      </w:pPr>
    </w:p>
    <w:p>
      <w:pPr>
        <w:ind w:firstLine="1280" w:firstLineChars="400"/>
        <w:jc w:val="left"/>
        <w:rPr>
          <w:rFonts w:ascii="黑体" w:hAnsi="黑体" w:eastAsia="黑体"/>
          <w:szCs w:val="32"/>
        </w:rPr>
      </w:pPr>
      <w:r>
        <w:rPr>
          <w:rFonts w:hint="eastAsia" w:ascii="黑体" w:hAnsi="黑体" w:eastAsia="黑体"/>
          <w:szCs w:val="32"/>
        </w:rPr>
        <w:t>项目名称：信息系统维护</w:t>
      </w:r>
    </w:p>
    <w:p>
      <w:pPr>
        <w:ind w:firstLine="1280" w:firstLineChars="400"/>
        <w:jc w:val="left"/>
        <w:rPr>
          <w:rFonts w:ascii="黑体" w:hAnsi="黑体" w:eastAsia="黑体"/>
          <w:szCs w:val="32"/>
        </w:rPr>
      </w:pPr>
      <w:r>
        <w:rPr>
          <w:rFonts w:hint="eastAsia" w:ascii="黑体" w:hAnsi="黑体" w:eastAsia="黑体"/>
          <w:szCs w:val="32"/>
        </w:rPr>
        <w:t>项目单位：深圳市福田区国库支付中心</w:t>
      </w:r>
    </w:p>
    <w:p>
      <w:pPr>
        <w:ind w:firstLine="640"/>
      </w:pPr>
    </w:p>
    <w:p>
      <w:pPr>
        <w:ind w:firstLine="640"/>
      </w:pPr>
    </w:p>
    <w:p>
      <w:pPr>
        <w:widowControl/>
        <w:spacing w:line="240" w:lineRule="auto"/>
        <w:ind w:firstLine="0" w:firstLineChars="0"/>
        <w:jc w:val="left"/>
      </w:pPr>
      <w:r>
        <w:br w:type="page"/>
      </w:r>
    </w:p>
    <w:sdt>
      <w:sdtPr>
        <w:rPr>
          <w:rFonts w:eastAsia="仿宋_GB2312" w:asciiTheme="minorHAnsi" w:hAnsiTheme="minorHAnsi" w:cstheme="minorBidi"/>
          <w:color w:val="auto"/>
          <w:kern w:val="2"/>
          <w:szCs w:val="22"/>
          <w:lang w:val="zh-CN"/>
        </w:rPr>
        <w:id w:val="-176728477"/>
        <w:docPartObj>
          <w:docPartGallery w:val="Table of Contents"/>
          <w:docPartUnique/>
        </w:docPartObj>
      </w:sdtPr>
      <w:sdtEndPr>
        <w:rPr>
          <w:rFonts w:eastAsia="仿宋_GB2312" w:asciiTheme="minorHAnsi" w:hAnsiTheme="minorHAnsi" w:cstheme="minorBidi"/>
          <w:b/>
          <w:bCs/>
          <w:color w:val="auto"/>
          <w:kern w:val="2"/>
          <w:szCs w:val="22"/>
          <w:lang w:val="zh-CN"/>
        </w:rPr>
      </w:sdtEndPr>
      <w:sdtContent>
        <w:p>
          <w:pPr>
            <w:pStyle w:val="24"/>
            <w:jc w:val="center"/>
            <w:rPr>
              <w:rFonts w:ascii="黑体" w:hAnsi="黑体" w:eastAsia="黑体"/>
              <w:color w:val="auto"/>
            </w:rPr>
          </w:pPr>
          <w:r>
            <w:rPr>
              <w:rFonts w:ascii="黑体" w:hAnsi="黑体" w:eastAsia="黑体"/>
              <w:color w:val="auto"/>
              <w:lang w:val="zh-CN"/>
            </w:rPr>
            <w:t>目</w:t>
          </w:r>
          <w:r>
            <w:rPr>
              <w:rFonts w:hint="eastAsia" w:ascii="黑体" w:hAnsi="黑体" w:eastAsia="黑体"/>
              <w:color w:val="auto"/>
              <w:lang w:val="zh-CN"/>
            </w:rPr>
            <w:t xml:space="preserve"> </w:t>
          </w:r>
          <w:r>
            <w:rPr>
              <w:rFonts w:ascii="黑体" w:hAnsi="黑体" w:eastAsia="黑体"/>
              <w:color w:val="auto"/>
              <w:lang w:val="zh-CN"/>
            </w:rPr>
            <w:t>录</w:t>
          </w:r>
        </w:p>
        <w:p>
          <w:pPr>
            <w:pStyle w:val="11"/>
            <w:tabs>
              <w:tab w:val="right" w:leader="dot" w:pos="8296"/>
            </w:tabs>
            <w:ind w:firstLine="0" w:firstLineChars="0"/>
            <w:rPr>
              <w:rStyle w:val="16"/>
              <w:rFonts w:ascii="仿宋_GB2312"/>
              <w:szCs w:val="32"/>
            </w:rPr>
          </w:pPr>
          <w:r>
            <w:rPr>
              <w:rStyle w:val="16"/>
              <w:rFonts w:hint="eastAsia" w:ascii="仿宋_GB2312"/>
              <w:b/>
              <w:bCs/>
              <w:szCs w:val="32"/>
            </w:rPr>
            <w:fldChar w:fldCharType="begin"/>
          </w:r>
          <w:r>
            <w:rPr>
              <w:rStyle w:val="16"/>
              <w:rFonts w:ascii="仿宋_GB2312"/>
              <w:b/>
              <w:bCs/>
              <w:szCs w:val="32"/>
            </w:rPr>
            <w:instrText xml:space="preserve"> TOC \o "1-3" \h \z \u </w:instrText>
          </w:r>
          <w:r>
            <w:rPr>
              <w:rStyle w:val="16"/>
              <w:rFonts w:hint="eastAsia" w:ascii="仿宋_GB2312"/>
              <w:b/>
              <w:bCs/>
              <w:szCs w:val="32"/>
            </w:rPr>
            <w:fldChar w:fldCharType="separate"/>
          </w:r>
          <w:r>
            <w:fldChar w:fldCharType="begin"/>
          </w:r>
          <w:r>
            <w:instrText xml:space="preserve"> HYPERLINK \l "_Toc111637864" </w:instrText>
          </w:r>
          <w:r>
            <w:fldChar w:fldCharType="separate"/>
          </w:r>
          <w:r>
            <w:rPr>
              <w:rStyle w:val="16"/>
              <w:rFonts w:ascii="仿宋_GB2312"/>
              <w:szCs w:val="32"/>
            </w:rPr>
            <w:t>一、基本情况</w:t>
          </w:r>
          <w:r>
            <w:rPr>
              <w:rStyle w:val="16"/>
              <w:rFonts w:ascii="仿宋_GB2312"/>
              <w:szCs w:val="32"/>
            </w:rPr>
            <w:tab/>
          </w:r>
          <w:r>
            <w:rPr>
              <w:rStyle w:val="16"/>
              <w:rFonts w:ascii="仿宋_GB2312"/>
              <w:szCs w:val="32"/>
            </w:rPr>
            <w:fldChar w:fldCharType="begin"/>
          </w:r>
          <w:r>
            <w:rPr>
              <w:rStyle w:val="16"/>
              <w:rFonts w:ascii="仿宋_GB2312"/>
              <w:szCs w:val="32"/>
            </w:rPr>
            <w:instrText xml:space="preserve"> PAGEREF _Toc111637864 \h </w:instrText>
          </w:r>
          <w:r>
            <w:rPr>
              <w:rStyle w:val="16"/>
              <w:rFonts w:ascii="仿宋_GB2312"/>
              <w:szCs w:val="32"/>
            </w:rPr>
            <w:fldChar w:fldCharType="separate"/>
          </w:r>
          <w:r>
            <w:rPr>
              <w:rStyle w:val="16"/>
              <w:rFonts w:ascii="仿宋_GB2312"/>
              <w:szCs w:val="32"/>
            </w:rPr>
            <w:t>1</w:t>
          </w:r>
          <w:r>
            <w:rPr>
              <w:rStyle w:val="16"/>
              <w:rFonts w:ascii="仿宋_GB2312"/>
              <w:szCs w:val="32"/>
            </w:rPr>
            <w:fldChar w:fldCharType="end"/>
          </w:r>
          <w:r>
            <w:rPr>
              <w:rStyle w:val="16"/>
              <w:rFonts w:ascii="仿宋_GB2312"/>
              <w:szCs w:val="32"/>
            </w:rPr>
            <w:fldChar w:fldCharType="end"/>
          </w:r>
        </w:p>
        <w:p>
          <w:pPr>
            <w:pStyle w:val="11"/>
            <w:tabs>
              <w:tab w:val="right" w:leader="dot" w:pos="8296"/>
            </w:tabs>
            <w:ind w:firstLine="640"/>
            <w:rPr>
              <w:rStyle w:val="16"/>
              <w:rFonts w:ascii="仿宋_GB2312"/>
              <w:szCs w:val="32"/>
            </w:rPr>
          </w:pPr>
          <w:r>
            <w:fldChar w:fldCharType="begin"/>
          </w:r>
          <w:r>
            <w:instrText xml:space="preserve"> HYPERLINK \l "_Toc111637865" </w:instrText>
          </w:r>
          <w:r>
            <w:fldChar w:fldCharType="separate"/>
          </w:r>
          <w:r>
            <w:rPr>
              <w:rStyle w:val="16"/>
              <w:rFonts w:ascii="仿宋_GB2312"/>
              <w:szCs w:val="32"/>
            </w:rPr>
            <w:t>（一）项目概况</w:t>
          </w:r>
          <w:r>
            <w:rPr>
              <w:rStyle w:val="16"/>
              <w:rFonts w:ascii="仿宋_GB2312"/>
              <w:szCs w:val="32"/>
            </w:rPr>
            <w:tab/>
          </w:r>
          <w:r>
            <w:rPr>
              <w:rStyle w:val="16"/>
              <w:rFonts w:ascii="仿宋_GB2312"/>
              <w:szCs w:val="32"/>
            </w:rPr>
            <w:fldChar w:fldCharType="begin"/>
          </w:r>
          <w:r>
            <w:rPr>
              <w:rStyle w:val="16"/>
              <w:rFonts w:ascii="仿宋_GB2312"/>
              <w:szCs w:val="32"/>
            </w:rPr>
            <w:instrText xml:space="preserve"> PAGEREF _Toc111637865 \h </w:instrText>
          </w:r>
          <w:r>
            <w:rPr>
              <w:rStyle w:val="16"/>
              <w:rFonts w:ascii="仿宋_GB2312"/>
              <w:szCs w:val="32"/>
            </w:rPr>
            <w:fldChar w:fldCharType="separate"/>
          </w:r>
          <w:r>
            <w:rPr>
              <w:rStyle w:val="16"/>
              <w:rFonts w:ascii="仿宋_GB2312"/>
              <w:szCs w:val="32"/>
            </w:rPr>
            <w:t>1</w:t>
          </w:r>
          <w:r>
            <w:rPr>
              <w:rStyle w:val="16"/>
              <w:rFonts w:ascii="仿宋_GB2312"/>
              <w:szCs w:val="32"/>
            </w:rPr>
            <w:fldChar w:fldCharType="end"/>
          </w:r>
          <w:r>
            <w:rPr>
              <w:rStyle w:val="16"/>
              <w:rFonts w:ascii="仿宋_GB2312"/>
              <w:szCs w:val="32"/>
            </w:rPr>
            <w:fldChar w:fldCharType="end"/>
          </w:r>
        </w:p>
        <w:p>
          <w:pPr>
            <w:pStyle w:val="11"/>
            <w:tabs>
              <w:tab w:val="right" w:leader="dot" w:pos="8296"/>
            </w:tabs>
            <w:ind w:firstLine="0" w:firstLineChars="0"/>
            <w:rPr>
              <w:rStyle w:val="16"/>
              <w:rFonts w:ascii="仿宋_GB2312"/>
              <w:szCs w:val="32"/>
            </w:rPr>
          </w:pPr>
          <w:r>
            <w:rPr>
              <w:rStyle w:val="16"/>
              <w:rFonts w:ascii="仿宋_GB2312"/>
              <w:szCs w:val="32"/>
              <w:u w:val="none"/>
            </w:rPr>
            <w:t xml:space="preserve">    </w:t>
          </w:r>
          <w:r>
            <w:fldChar w:fldCharType="begin"/>
          </w:r>
          <w:r>
            <w:instrText xml:space="preserve"> HYPERLINK \l "_Toc111637869" </w:instrText>
          </w:r>
          <w:r>
            <w:fldChar w:fldCharType="separate"/>
          </w:r>
          <w:r>
            <w:rPr>
              <w:rStyle w:val="16"/>
              <w:rFonts w:ascii="仿宋_GB2312"/>
              <w:szCs w:val="32"/>
            </w:rPr>
            <w:t>（二）项目绩效目标</w:t>
          </w:r>
          <w:r>
            <w:rPr>
              <w:rStyle w:val="16"/>
              <w:rFonts w:ascii="仿宋_GB2312"/>
              <w:szCs w:val="32"/>
            </w:rPr>
            <w:tab/>
          </w:r>
          <w:r>
            <w:rPr>
              <w:rStyle w:val="16"/>
              <w:rFonts w:ascii="仿宋_GB2312"/>
              <w:szCs w:val="32"/>
            </w:rPr>
            <w:fldChar w:fldCharType="begin"/>
          </w:r>
          <w:r>
            <w:rPr>
              <w:rStyle w:val="16"/>
              <w:rFonts w:ascii="仿宋_GB2312"/>
              <w:szCs w:val="32"/>
            </w:rPr>
            <w:instrText xml:space="preserve"> PAGEREF _Toc111637869 \h </w:instrText>
          </w:r>
          <w:r>
            <w:rPr>
              <w:rStyle w:val="16"/>
              <w:rFonts w:ascii="仿宋_GB2312"/>
              <w:szCs w:val="32"/>
            </w:rPr>
            <w:fldChar w:fldCharType="separate"/>
          </w:r>
          <w:r>
            <w:rPr>
              <w:rStyle w:val="16"/>
              <w:rFonts w:ascii="仿宋_GB2312"/>
              <w:szCs w:val="32"/>
            </w:rPr>
            <w:t>2</w:t>
          </w:r>
          <w:r>
            <w:rPr>
              <w:rStyle w:val="16"/>
              <w:rFonts w:ascii="仿宋_GB2312"/>
              <w:szCs w:val="32"/>
            </w:rPr>
            <w:fldChar w:fldCharType="end"/>
          </w:r>
          <w:r>
            <w:rPr>
              <w:rStyle w:val="16"/>
              <w:rFonts w:ascii="仿宋_GB2312"/>
              <w:szCs w:val="32"/>
            </w:rPr>
            <w:fldChar w:fldCharType="end"/>
          </w:r>
        </w:p>
        <w:p>
          <w:pPr>
            <w:pStyle w:val="11"/>
            <w:tabs>
              <w:tab w:val="right" w:leader="dot" w:pos="8296"/>
            </w:tabs>
            <w:ind w:firstLine="0" w:firstLineChars="0"/>
            <w:rPr>
              <w:rStyle w:val="16"/>
              <w:rFonts w:ascii="仿宋_GB2312"/>
              <w:szCs w:val="32"/>
            </w:rPr>
          </w:pPr>
          <w:r>
            <w:fldChar w:fldCharType="begin"/>
          </w:r>
          <w:r>
            <w:instrText xml:space="preserve"> HYPERLINK \l "_Toc111637870" </w:instrText>
          </w:r>
          <w:r>
            <w:fldChar w:fldCharType="separate"/>
          </w:r>
          <w:r>
            <w:rPr>
              <w:rStyle w:val="16"/>
              <w:rFonts w:ascii="仿宋_GB2312"/>
              <w:szCs w:val="32"/>
            </w:rPr>
            <w:t>二、绩效评价工作开展情况</w:t>
          </w:r>
          <w:r>
            <w:rPr>
              <w:rStyle w:val="16"/>
              <w:rFonts w:ascii="仿宋_GB2312"/>
              <w:szCs w:val="32"/>
            </w:rPr>
            <w:tab/>
          </w:r>
          <w:r>
            <w:rPr>
              <w:rStyle w:val="16"/>
              <w:rFonts w:ascii="仿宋_GB2312"/>
              <w:szCs w:val="32"/>
            </w:rPr>
            <w:fldChar w:fldCharType="begin"/>
          </w:r>
          <w:r>
            <w:rPr>
              <w:rStyle w:val="16"/>
              <w:rFonts w:ascii="仿宋_GB2312"/>
              <w:szCs w:val="32"/>
            </w:rPr>
            <w:instrText xml:space="preserve"> PAGEREF _Toc111637870 \h </w:instrText>
          </w:r>
          <w:r>
            <w:rPr>
              <w:rStyle w:val="16"/>
              <w:rFonts w:ascii="仿宋_GB2312"/>
              <w:szCs w:val="32"/>
            </w:rPr>
            <w:fldChar w:fldCharType="separate"/>
          </w:r>
          <w:r>
            <w:rPr>
              <w:rStyle w:val="16"/>
              <w:rFonts w:ascii="仿宋_GB2312"/>
              <w:szCs w:val="32"/>
            </w:rPr>
            <w:t>2</w:t>
          </w:r>
          <w:r>
            <w:rPr>
              <w:rStyle w:val="16"/>
              <w:rFonts w:ascii="仿宋_GB2312"/>
              <w:szCs w:val="32"/>
            </w:rPr>
            <w:fldChar w:fldCharType="end"/>
          </w:r>
          <w:r>
            <w:rPr>
              <w:rStyle w:val="16"/>
              <w:rFonts w:ascii="仿宋_GB2312"/>
              <w:szCs w:val="32"/>
            </w:rPr>
            <w:fldChar w:fldCharType="end"/>
          </w:r>
        </w:p>
        <w:p>
          <w:pPr>
            <w:pStyle w:val="11"/>
            <w:tabs>
              <w:tab w:val="right" w:leader="dot" w:pos="8296"/>
            </w:tabs>
            <w:ind w:firstLine="640"/>
            <w:rPr>
              <w:rStyle w:val="16"/>
              <w:rFonts w:ascii="仿宋_GB2312"/>
              <w:szCs w:val="32"/>
            </w:rPr>
          </w:pPr>
          <w:r>
            <w:fldChar w:fldCharType="begin"/>
          </w:r>
          <w:r>
            <w:instrText xml:space="preserve"> HYPERLINK \l "_Toc111637871" </w:instrText>
          </w:r>
          <w:r>
            <w:fldChar w:fldCharType="separate"/>
          </w:r>
          <w:r>
            <w:rPr>
              <w:rStyle w:val="16"/>
              <w:rFonts w:ascii="仿宋_GB2312"/>
              <w:szCs w:val="32"/>
            </w:rPr>
            <w:t>（一）绩效评价目的、对象和范围</w:t>
          </w:r>
          <w:r>
            <w:rPr>
              <w:rStyle w:val="16"/>
              <w:rFonts w:ascii="仿宋_GB2312"/>
              <w:szCs w:val="32"/>
            </w:rPr>
            <w:tab/>
          </w:r>
          <w:r>
            <w:rPr>
              <w:rStyle w:val="16"/>
              <w:rFonts w:ascii="仿宋_GB2312"/>
              <w:szCs w:val="32"/>
            </w:rPr>
            <w:fldChar w:fldCharType="begin"/>
          </w:r>
          <w:r>
            <w:rPr>
              <w:rStyle w:val="16"/>
              <w:rFonts w:ascii="仿宋_GB2312"/>
              <w:szCs w:val="32"/>
            </w:rPr>
            <w:instrText xml:space="preserve"> PAGEREF _Toc111637871 \h </w:instrText>
          </w:r>
          <w:r>
            <w:rPr>
              <w:rStyle w:val="16"/>
              <w:rFonts w:ascii="仿宋_GB2312"/>
              <w:szCs w:val="32"/>
            </w:rPr>
            <w:fldChar w:fldCharType="separate"/>
          </w:r>
          <w:r>
            <w:rPr>
              <w:rStyle w:val="16"/>
              <w:rFonts w:ascii="仿宋_GB2312"/>
              <w:szCs w:val="32"/>
            </w:rPr>
            <w:t>2</w:t>
          </w:r>
          <w:r>
            <w:rPr>
              <w:rStyle w:val="16"/>
              <w:rFonts w:ascii="仿宋_GB2312"/>
              <w:szCs w:val="32"/>
            </w:rPr>
            <w:fldChar w:fldCharType="end"/>
          </w:r>
          <w:r>
            <w:rPr>
              <w:rStyle w:val="16"/>
              <w:rFonts w:ascii="仿宋_GB2312"/>
              <w:szCs w:val="32"/>
            </w:rPr>
            <w:fldChar w:fldCharType="end"/>
          </w:r>
        </w:p>
        <w:p>
          <w:pPr>
            <w:pStyle w:val="11"/>
            <w:tabs>
              <w:tab w:val="right" w:leader="dot" w:pos="8296"/>
            </w:tabs>
            <w:ind w:firstLine="0" w:firstLineChars="0"/>
            <w:rPr>
              <w:rStyle w:val="16"/>
              <w:rFonts w:ascii="仿宋_GB2312"/>
              <w:szCs w:val="32"/>
            </w:rPr>
          </w:pPr>
          <w:r>
            <w:rPr>
              <w:rStyle w:val="16"/>
              <w:rFonts w:ascii="仿宋_GB2312"/>
              <w:szCs w:val="32"/>
              <w:u w:val="none"/>
            </w:rPr>
            <w:t xml:space="preserve">    </w:t>
          </w:r>
          <w:r>
            <w:fldChar w:fldCharType="begin"/>
          </w:r>
          <w:r>
            <w:instrText xml:space="preserve"> HYPERLINK \l "_Toc111637874" </w:instrText>
          </w:r>
          <w:r>
            <w:fldChar w:fldCharType="separate"/>
          </w:r>
          <w:r>
            <w:rPr>
              <w:rStyle w:val="16"/>
              <w:rFonts w:ascii="仿宋_GB2312"/>
              <w:szCs w:val="32"/>
            </w:rPr>
            <w:t>（二）绩效评价原则、评价指标体系、评价方法、评价标准等</w:t>
          </w:r>
          <w:r>
            <w:rPr>
              <w:rStyle w:val="16"/>
              <w:rFonts w:ascii="仿宋_GB2312"/>
              <w:szCs w:val="32"/>
            </w:rPr>
            <w:tab/>
          </w:r>
          <w:r>
            <w:rPr>
              <w:rStyle w:val="16"/>
              <w:rFonts w:ascii="仿宋_GB2312"/>
              <w:szCs w:val="32"/>
            </w:rPr>
            <w:fldChar w:fldCharType="begin"/>
          </w:r>
          <w:r>
            <w:rPr>
              <w:rStyle w:val="16"/>
              <w:rFonts w:ascii="仿宋_GB2312"/>
              <w:szCs w:val="32"/>
            </w:rPr>
            <w:instrText xml:space="preserve"> PAGEREF _Toc111637874 \h </w:instrText>
          </w:r>
          <w:r>
            <w:rPr>
              <w:rStyle w:val="16"/>
              <w:rFonts w:ascii="仿宋_GB2312"/>
              <w:szCs w:val="32"/>
            </w:rPr>
            <w:fldChar w:fldCharType="separate"/>
          </w:r>
          <w:r>
            <w:rPr>
              <w:rStyle w:val="16"/>
              <w:rFonts w:ascii="仿宋_GB2312"/>
              <w:szCs w:val="32"/>
            </w:rPr>
            <w:t>3</w:t>
          </w:r>
          <w:r>
            <w:rPr>
              <w:rStyle w:val="16"/>
              <w:rFonts w:ascii="仿宋_GB2312"/>
              <w:szCs w:val="32"/>
            </w:rPr>
            <w:fldChar w:fldCharType="end"/>
          </w:r>
          <w:r>
            <w:rPr>
              <w:rStyle w:val="16"/>
              <w:rFonts w:ascii="仿宋_GB2312"/>
              <w:szCs w:val="32"/>
            </w:rPr>
            <w:fldChar w:fldCharType="end"/>
          </w:r>
        </w:p>
        <w:p>
          <w:pPr>
            <w:pStyle w:val="11"/>
            <w:tabs>
              <w:tab w:val="right" w:leader="dot" w:pos="8296"/>
            </w:tabs>
            <w:ind w:firstLine="640"/>
            <w:rPr>
              <w:rStyle w:val="16"/>
              <w:rFonts w:ascii="仿宋_GB2312"/>
              <w:szCs w:val="32"/>
            </w:rPr>
          </w:pPr>
          <w:r>
            <w:fldChar w:fldCharType="begin"/>
          </w:r>
          <w:r>
            <w:instrText xml:space="preserve"> HYPERLINK \l "_Toc111637875" </w:instrText>
          </w:r>
          <w:r>
            <w:fldChar w:fldCharType="separate"/>
          </w:r>
          <w:r>
            <w:rPr>
              <w:rStyle w:val="16"/>
              <w:rFonts w:ascii="仿宋_GB2312"/>
              <w:szCs w:val="32"/>
            </w:rPr>
            <w:t>（三）绩效评价工作过程</w:t>
          </w:r>
          <w:r>
            <w:rPr>
              <w:rStyle w:val="16"/>
              <w:rFonts w:ascii="仿宋_GB2312"/>
              <w:szCs w:val="32"/>
            </w:rPr>
            <w:tab/>
          </w:r>
          <w:r>
            <w:rPr>
              <w:rStyle w:val="16"/>
              <w:rFonts w:ascii="仿宋_GB2312"/>
              <w:szCs w:val="32"/>
            </w:rPr>
            <w:fldChar w:fldCharType="begin"/>
          </w:r>
          <w:r>
            <w:rPr>
              <w:rStyle w:val="16"/>
              <w:rFonts w:ascii="仿宋_GB2312"/>
              <w:szCs w:val="32"/>
            </w:rPr>
            <w:instrText xml:space="preserve"> PAGEREF _Toc111637875 \h </w:instrText>
          </w:r>
          <w:r>
            <w:rPr>
              <w:rStyle w:val="16"/>
              <w:rFonts w:ascii="仿宋_GB2312"/>
              <w:szCs w:val="32"/>
            </w:rPr>
            <w:fldChar w:fldCharType="separate"/>
          </w:r>
          <w:r>
            <w:rPr>
              <w:rStyle w:val="16"/>
              <w:rFonts w:ascii="仿宋_GB2312"/>
              <w:szCs w:val="32"/>
            </w:rPr>
            <w:t>4</w:t>
          </w:r>
          <w:r>
            <w:rPr>
              <w:rStyle w:val="16"/>
              <w:rFonts w:ascii="仿宋_GB2312"/>
              <w:szCs w:val="32"/>
            </w:rPr>
            <w:fldChar w:fldCharType="end"/>
          </w:r>
          <w:r>
            <w:rPr>
              <w:rStyle w:val="16"/>
              <w:rFonts w:ascii="仿宋_GB2312"/>
              <w:szCs w:val="32"/>
            </w:rPr>
            <w:fldChar w:fldCharType="end"/>
          </w:r>
        </w:p>
        <w:p>
          <w:pPr>
            <w:pStyle w:val="11"/>
            <w:tabs>
              <w:tab w:val="right" w:leader="dot" w:pos="8296"/>
            </w:tabs>
            <w:ind w:firstLine="0" w:firstLineChars="0"/>
            <w:rPr>
              <w:rStyle w:val="16"/>
              <w:rFonts w:ascii="仿宋_GB2312"/>
              <w:szCs w:val="32"/>
            </w:rPr>
          </w:pPr>
          <w:r>
            <w:fldChar w:fldCharType="begin"/>
          </w:r>
          <w:r>
            <w:instrText xml:space="preserve"> HYPERLINK \l "_Toc111637879" </w:instrText>
          </w:r>
          <w:r>
            <w:fldChar w:fldCharType="separate"/>
          </w:r>
          <w:r>
            <w:rPr>
              <w:rStyle w:val="16"/>
              <w:rFonts w:ascii="仿宋_GB2312"/>
              <w:szCs w:val="32"/>
            </w:rPr>
            <w:t>三、综合评价情况及评价结论</w:t>
          </w:r>
          <w:r>
            <w:rPr>
              <w:rStyle w:val="16"/>
              <w:rFonts w:ascii="仿宋_GB2312"/>
              <w:szCs w:val="32"/>
            </w:rPr>
            <w:tab/>
          </w:r>
          <w:r>
            <w:rPr>
              <w:rStyle w:val="16"/>
              <w:rFonts w:ascii="仿宋_GB2312"/>
              <w:szCs w:val="32"/>
            </w:rPr>
            <w:fldChar w:fldCharType="begin"/>
          </w:r>
          <w:r>
            <w:rPr>
              <w:rStyle w:val="16"/>
              <w:rFonts w:ascii="仿宋_GB2312"/>
              <w:szCs w:val="32"/>
            </w:rPr>
            <w:instrText xml:space="preserve"> PAGEREF _Toc111637879 \h </w:instrText>
          </w:r>
          <w:r>
            <w:rPr>
              <w:rStyle w:val="16"/>
              <w:rFonts w:ascii="仿宋_GB2312"/>
              <w:szCs w:val="32"/>
            </w:rPr>
            <w:fldChar w:fldCharType="separate"/>
          </w:r>
          <w:r>
            <w:rPr>
              <w:rStyle w:val="16"/>
              <w:rFonts w:ascii="仿宋_GB2312"/>
              <w:szCs w:val="32"/>
            </w:rPr>
            <w:t>5</w:t>
          </w:r>
          <w:r>
            <w:rPr>
              <w:rStyle w:val="16"/>
              <w:rFonts w:ascii="仿宋_GB2312"/>
              <w:szCs w:val="32"/>
            </w:rPr>
            <w:fldChar w:fldCharType="end"/>
          </w:r>
          <w:r>
            <w:rPr>
              <w:rStyle w:val="16"/>
              <w:rFonts w:ascii="仿宋_GB2312"/>
              <w:szCs w:val="32"/>
            </w:rPr>
            <w:fldChar w:fldCharType="end"/>
          </w:r>
        </w:p>
        <w:p>
          <w:pPr>
            <w:pStyle w:val="11"/>
            <w:tabs>
              <w:tab w:val="right" w:leader="dot" w:pos="8296"/>
            </w:tabs>
            <w:ind w:firstLine="0" w:firstLineChars="0"/>
            <w:rPr>
              <w:rStyle w:val="16"/>
              <w:rFonts w:ascii="仿宋_GB2312"/>
              <w:szCs w:val="32"/>
            </w:rPr>
          </w:pPr>
          <w:r>
            <w:fldChar w:fldCharType="begin"/>
          </w:r>
          <w:r>
            <w:instrText xml:space="preserve"> HYPERLINK \l "_Toc111637880" </w:instrText>
          </w:r>
          <w:r>
            <w:fldChar w:fldCharType="separate"/>
          </w:r>
          <w:r>
            <w:rPr>
              <w:rStyle w:val="16"/>
              <w:rFonts w:ascii="仿宋_GB2312"/>
              <w:szCs w:val="32"/>
            </w:rPr>
            <w:t>四、绩效评价指标分析</w:t>
          </w:r>
          <w:r>
            <w:rPr>
              <w:rStyle w:val="16"/>
              <w:rFonts w:ascii="仿宋_GB2312"/>
              <w:szCs w:val="32"/>
            </w:rPr>
            <w:tab/>
          </w:r>
          <w:r>
            <w:rPr>
              <w:rStyle w:val="16"/>
              <w:rFonts w:ascii="仿宋_GB2312"/>
              <w:szCs w:val="32"/>
            </w:rPr>
            <w:fldChar w:fldCharType="begin"/>
          </w:r>
          <w:r>
            <w:rPr>
              <w:rStyle w:val="16"/>
              <w:rFonts w:ascii="仿宋_GB2312"/>
              <w:szCs w:val="32"/>
            </w:rPr>
            <w:instrText xml:space="preserve"> PAGEREF _Toc111637880 \h </w:instrText>
          </w:r>
          <w:r>
            <w:rPr>
              <w:rStyle w:val="16"/>
              <w:rFonts w:ascii="仿宋_GB2312"/>
              <w:szCs w:val="32"/>
            </w:rPr>
            <w:fldChar w:fldCharType="separate"/>
          </w:r>
          <w:r>
            <w:rPr>
              <w:rStyle w:val="16"/>
              <w:rFonts w:ascii="仿宋_GB2312"/>
              <w:szCs w:val="32"/>
            </w:rPr>
            <w:t>6</w:t>
          </w:r>
          <w:r>
            <w:rPr>
              <w:rStyle w:val="16"/>
              <w:rFonts w:ascii="仿宋_GB2312"/>
              <w:szCs w:val="32"/>
            </w:rPr>
            <w:fldChar w:fldCharType="end"/>
          </w:r>
          <w:r>
            <w:rPr>
              <w:rStyle w:val="16"/>
              <w:rFonts w:ascii="仿宋_GB2312"/>
              <w:szCs w:val="32"/>
            </w:rPr>
            <w:fldChar w:fldCharType="end"/>
          </w:r>
        </w:p>
        <w:p>
          <w:pPr>
            <w:pStyle w:val="11"/>
            <w:tabs>
              <w:tab w:val="right" w:leader="dot" w:pos="8296"/>
            </w:tabs>
            <w:ind w:firstLine="640"/>
            <w:rPr>
              <w:rStyle w:val="16"/>
              <w:rFonts w:ascii="仿宋_GB2312"/>
              <w:szCs w:val="32"/>
            </w:rPr>
          </w:pPr>
          <w:r>
            <w:fldChar w:fldCharType="begin"/>
          </w:r>
          <w:r>
            <w:instrText xml:space="preserve"> HYPERLINK \l "_Toc111637881" </w:instrText>
          </w:r>
          <w:r>
            <w:fldChar w:fldCharType="separate"/>
          </w:r>
          <w:r>
            <w:rPr>
              <w:rStyle w:val="16"/>
              <w:rFonts w:ascii="仿宋_GB2312"/>
              <w:szCs w:val="32"/>
            </w:rPr>
            <w:t>（一）项目决策</w:t>
          </w:r>
          <w:r>
            <w:rPr>
              <w:rStyle w:val="16"/>
              <w:rFonts w:ascii="仿宋_GB2312"/>
              <w:szCs w:val="32"/>
            </w:rPr>
            <w:tab/>
          </w:r>
          <w:r>
            <w:rPr>
              <w:rStyle w:val="16"/>
              <w:rFonts w:ascii="仿宋_GB2312"/>
              <w:szCs w:val="32"/>
            </w:rPr>
            <w:fldChar w:fldCharType="begin"/>
          </w:r>
          <w:r>
            <w:rPr>
              <w:rStyle w:val="16"/>
              <w:rFonts w:ascii="仿宋_GB2312"/>
              <w:szCs w:val="32"/>
            </w:rPr>
            <w:instrText xml:space="preserve"> PAGEREF _Toc111637881 \h </w:instrText>
          </w:r>
          <w:r>
            <w:rPr>
              <w:rStyle w:val="16"/>
              <w:rFonts w:ascii="仿宋_GB2312"/>
              <w:szCs w:val="32"/>
            </w:rPr>
            <w:fldChar w:fldCharType="separate"/>
          </w:r>
          <w:r>
            <w:rPr>
              <w:rStyle w:val="16"/>
              <w:rFonts w:ascii="仿宋_GB2312"/>
              <w:szCs w:val="32"/>
            </w:rPr>
            <w:t>6</w:t>
          </w:r>
          <w:r>
            <w:rPr>
              <w:rStyle w:val="16"/>
              <w:rFonts w:ascii="仿宋_GB2312"/>
              <w:szCs w:val="32"/>
            </w:rPr>
            <w:fldChar w:fldCharType="end"/>
          </w:r>
          <w:r>
            <w:rPr>
              <w:rStyle w:val="16"/>
              <w:rFonts w:ascii="仿宋_GB2312"/>
              <w:szCs w:val="32"/>
            </w:rPr>
            <w:fldChar w:fldCharType="end"/>
          </w:r>
        </w:p>
        <w:p>
          <w:pPr>
            <w:pStyle w:val="11"/>
            <w:tabs>
              <w:tab w:val="right" w:leader="dot" w:pos="8296"/>
            </w:tabs>
            <w:ind w:firstLine="0" w:firstLineChars="0"/>
            <w:rPr>
              <w:rStyle w:val="16"/>
              <w:rFonts w:ascii="仿宋_GB2312"/>
              <w:szCs w:val="32"/>
            </w:rPr>
          </w:pPr>
          <w:r>
            <w:rPr>
              <w:rStyle w:val="16"/>
              <w:rFonts w:ascii="仿宋_GB2312"/>
              <w:szCs w:val="32"/>
              <w:u w:val="none"/>
            </w:rPr>
            <w:t xml:space="preserve">    </w:t>
          </w:r>
          <w:r>
            <w:fldChar w:fldCharType="begin"/>
          </w:r>
          <w:r>
            <w:instrText xml:space="preserve"> HYPERLINK \l "_Toc111637885" </w:instrText>
          </w:r>
          <w:r>
            <w:fldChar w:fldCharType="separate"/>
          </w:r>
          <w:r>
            <w:rPr>
              <w:rStyle w:val="16"/>
              <w:rFonts w:ascii="仿宋_GB2312"/>
              <w:szCs w:val="32"/>
            </w:rPr>
            <w:t>（二）项目过程</w:t>
          </w:r>
          <w:r>
            <w:rPr>
              <w:rStyle w:val="16"/>
              <w:rFonts w:ascii="仿宋_GB2312"/>
              <w:szCs w:val="32"/>
            </w:rPr>
            <w:tab/>
          </w:r>
          <w:r>
            <w:rPr>
              <w:rStyle w:val="16"/>
              <w:rFonts w:ascii="仿宋_GB2312"/>
              <w:szCs w:val="32"/>
            </w:rPr>
            <w:fldChar w:fldCharType="begin"/>
          </w:r>
          <w:r>
            <w:rPr>
              <w:rStyle w:val="16"/>
              <w:rFonts w:ascii="仿宋_GB2312"/>
              <w:szCs w:val="32"/>
            </w:rPr>
            <w:instrText xml:space="preserve"> PAGEREF _Toc111637885 \h </w:instrText>
          </w:r>
          <w:r>
            <w:rPr>
              <w:rStyle w:val="16"/>
              <w:rFonts w:ascii="仿宋_GB2312"/>
              <w:szCs w:val="32"/>
            </w:rPr>
            <w:fldChar w:fldCharType="separate"/>
          </w:r>
          <w:r>
            <w:rPr>
              <w:rStyle w:val="16"/>
              <w:rFonts w:ascii="仿宋_GB2312"/>
              <w:szCs w:val="32"/>
            </w:rPr>
            <w:t>8</w:t>
          </w:r>
          <w:r>
            <w:rPr>
              <w:rStyle w:val="16"/>
              <w:rFonts w:ascii="仿宋_GB2312"/>
              <w:szCs w:val="32"/>
            </w:rPr>
            <w:fldChar w:fldCharType="end"/>
          </w:r>
          <w:r>
            <w:rPr>
              <w:rStyle w:val="16"/>
              <w:rFonts w:ascii="仿宋_GB2312"/>
              <w:szCs w:val="32"/>
            </w:rPr>
            <w:fldChar w:fldCharType="end"/>
          </w:r>
        </w:p>
        <w:p>
          <w:pPr>
            <w:pStyle w:val="11"/>
            <w:tabs>
              <w:tab w:val="right" w:leader="dot" w:pos="8296"/>
            </w:tabs>
            <w:ind w:firstLine="0" w:firstLineChars="0"/>
            <w:rPr>
              <w:rStyle w:val="16"/>
              <w:rFonts w:ascii="仿宋_GB2312"/>
              <w:szCs w:val="32"/>
            </w:rPr>
          </w:pPr>
          <w:r>
            <w:rPr>
              <w:rStyle w:val="16"/>
              <w:rFonts w:ascii="仿宋_GB2312"/>
              <w:szCs w:val="32"/>
              <w:u w:val="none"/>
            </w:rPr>
            <w:t xml:space="preserve">    </w:t>
          </w:r>
          <w:r>
            <w:fldChar w:fldCharType="begin"/>
          </w:r>
          <w:r>
            <w:instrText xml:space="preserve"> HYPERLINK \l "_Toc111637888" </w:instrText>
          </w:r>
          <w:r>
            <w:fldChar w:fldCharType="separate"/>
          </w:r>
          <w:r>
            <w:rPr>
              <w:rStyle w:val="16"/>
              <w:rFonts w:ascii="仿宋_GB2312"/>
              <w:szCs w:val="32"/>
            </w:rPr>
            <w:t>（三）项目产出</w:t>
          </w:r>
          <w:r>
            <w:rPr>
              <w:rStyle w:val="16"/>
              <w:rFonts w:ascii="仿宋_GB2312"/>
              <w:szCs w:val="32"/>
            </w:rPr>
            <w:tab/>
          </w:r>
          <w:r>
            <w:rPr>
              <w:rStyle w:val="16"/>
              <w:rFonts w:ascii="仿宋_GB2312"/>
              <w:szCs w:val="32"/>
            </w:rPr>
            <w:fldChar w:fldCharType="begin"/>
          </w:r>
          <w:r>
            <w:rPr>
              <w:rStyle w:val="16"/>
              <w:rFonts w:ascii="仿宋_GB2312"/>
              <w:szCs w:val="32"/>
            </w:rPr>
            <w:instrText xml:space="preserve"> PAGEREF _Toc111637888 \h </w:instrText>
          </w:r>
          <w:r>
            <w:rPr>
              <w:rStyle w:val="16"/>
              <w:rFonts w:ascii="仿宋_GB2312"/>
              <w:szCs w:val="32"/>
            </w:rPr>
            <w:fldChar w:fldCharType="separate"/>
          </w:r>
          <w:r>
            <w:rPr>
              <w:rStyle w:val="16"/>
              <w:rFonts w:ascii="仿宋_GB2312"/>
              <w:szCs w:val="32"/>
            </w:rPr>
            <w:t>9</w:t>
          </w:r>
          <w:r>
            <w:rPr>
              <w:rStyle w:val="16"/>
              <w:rFonts w:ascii="仿宋_GB2312"/>
              <w:szCs w:val="32"/>
            </w:rPr>
            <w:fldChar w:fldCharType="end"/>
          </w:r>
          <w:r>
            <w:rPr>
              <w:rStyle w:val="16"/>
              <w:rFonts w:ascii="仿宋_GB2312"/>
              <w:szCs w:val="32"/>
            </w:rPr>
            <w:fldChar w:fldCharType="end"/>
          </w:r>
        </w:p>
        <w:p>
          <w:pPr>
            <w:pStyle w:val="11"/>
            <w:tabs>
              <w:tab w:val="right" w:leader="dot" w:pos="8296"/>
            </w:tabs>
            <w:ind w:firstLine="0" w:firstLineChars="0"/>
            <w:rPr>
              <w:rStyle w:val="16"/>
              <w:rFonts w:ascii="仿宋_GB2312"/>
              <w:szCs w:val="32"/>
            </w:rPr>
          </w:pPr>
          <w:r>
            <w:rPr>
              <w:rStyle w:val="16"/>
              <w:rFonts w:ascii="仿宋_GB2312"/>
              <w:szCs w:val="32"/>
              <w:u w:val="none"/>
            </w:rPr>
            <w:t xml:space="preserve">    </w:t>
          </w:r>
          <w:r>
            <w:fldChar w:fldCharType="begin"/>
          </w:r>
          <w:r>
            <w:instrText xml:space="preserve"> HYPERLINK \l "_Toc111637893" </w:instrText>
          </w:r>
          <w:r>
            <w:fldChar w:fldCharType="separate"/>
          </w:r>
          <w:r>
            <w:rPr>
              <w:rStyle w:val="16"/>
              <w:rFonts w:ascii="仿宋_GB2312"/>
              <w:szCs w:val="32"/>
              <w:u w:val="none"/>
            </w:rPr>
            <w:t>（四）项目效益</w:t>
          </w:r>
          <w:r>
            <w:rPr>
              <w:rStyle w:val="16"/>
              <w:rFonts w:ascii="仿宋_GB2312"/>
              <w:szCs w:val="32"/>
              <w:u w:val="none"/>
            </w:rPr>
            <w:tab/>
          </w:r>
          <w:r>
            <w:rPr>
              <w:rStyle w:val="16"/>
              <w:rFonts w:ascii="仿宋_GB2312"/>
              <w:szCs w:val="32"/>
              <w:u w:val="none"/>
            </w:rPr>
            <w:fldChar w:fldCharType="begin"/>
          </w:r>
          <w:r>
            <w:rPr>
              <w:rStyle w:val="16"/>
              <w:rFonts w:ascii="仿宋_GB2312"/>
              <w:szCs w:val="32"/>
              <w:u w:val="none"/>
            </w:rPr>
            <w:instrText xml:space="preserve"> PAGEREF _Toc111637893 \h </w:instrText>
          </w:r>
          <w:r>
            <w:rPr>
              <w:rStyle w:val="16"/>
              <w:rFonts w:ascii="仿宋_GB2312"/>
              <w:szCs w:val="32"/>
              <w:u w:val="none"/>
            </w:rPr>
            <w:fldChar w:fldCharType="separate"/>
          </w:r>
          <w:r>
            <w:rPr>
              <w:rStyle w:val="16"/>
              <w:rFonts w:ascii="仿宋_GB2312"/>
              <w:szCs w:val="32"/>
              <w:u w:val="none"/>
            </w:rPr>
            <w:t>12</w:t>
          </w:r>
          <w:r>
            <w:rPr>
              <w:rStyle w:val="16"/>
              <w:rFonts w:ascii="仿宋_GB2312"/>
              <w:szCs w:val="32"/>
              <w:u w:val="none"/>
            </w:rPr>
            <w:fldChar w:fldCharType="end"/>
          </w:r>
          <w:r>
            <w:rPr>
              <w:rStyle w:val="16"/>
              <w:rFonts w:ascii="仿宋_GB2312"/>
              <w:szCs w:val="32"/>
              <w:u w:val="none"/>
            </w:rPr>
            <w:fldChar w:fldCharType="end"/>
          </w:r>
        </w:p>
        <w:p>
          <w:pPr>
            <w:pStyle w:val="11"/>
            <w:tabs>
              <w:tab w:val="right" w:leader="dot" w:pos="8296"/>
            </w:tabs>
            <w:ind w:firstLine="0" w:firstLineChars="0"/>
            <w:rPr>
              <w:rStyle w:val="16"/>
              <w:rFonts w:ascii="仿宋_GB2312"/>
              <w:szCs w:val="32"/>
            </w:rPr>
          </w:pPr>
          <w:r>
            <w:fldChar w:fldCharType="begin"/>
          </w:r>
          <w:r>
            <w:instrText xml:space="preserve"> HYPERLINK \l "_Toc111637896" </w:instrText>
          </w:r>
          <w:r>
            <w:fldChar w:fldCharType="separate"/>
          </w:r>
          <w:r>
            <w:rPr>
              <w:rStyle w:val="16"/>
              <w:rFonts w:ascii="仿宋_GB2312"/>
              <w:szCs w:val="32"/>
            </w:rPr>
            <w:t>五、主要经验及做法</w:t>
          </w:r>
          <w:r>
            <w:rPr>
              <w:rStyle w:val="16"/>
              <w:rFonts w:ascii="仿宋_GB2312"/>
              <w:szCs w:val="32"/>
            </w:rPr>
            <w:tab/>
          </w:r>
          <w:r>
            <w:rPr>
              <w:rStyle w:val="16"/>
              <w:rFonts w:ascii="仿宋_GB2312"/>
              <w:szCs w:val="32"/>
            </w:rPr>
            <w:fldChar w:fldCharType="begin"/>
          </w:r>
          <w:r>
            <w:rPr>
              <w:rStyle w:val="16"/>
              <w:rFonts w:ascii="仿宋_GB2312"/>
              <w:szCs w:val="32"/>
            </w:rPr>
            <w:instrText xml:space="preserve"> PAGEREF _Toc111637896 \h </w:instrText>
          </w:r>
          <w:r>
            <w:rPr>
              <w:rStyle w:val="16"/>
              <w:rFonts w:ascii="仿宋_GB2312"/>
              <w:szCs w:val="32"/>
            </w:rPr>
            <w:fldChar w:fldCharType="separate"/>
          </w:r>
          <w:r>
            <w:rPr>
              <w:rStyle w:val="16"/>
              <w:rFonts w:ascii="仿宋_GB2312"/>
              <w:szCs w:val="32"/>
            </w:rPr>
            <w:t>14</w:t>
          </w:r>
          <w:r>
            <w:rPr>
              <w:rStyle w:val="16"/>
              <w:rFonts w:ascii="仿宋_GB2312"/>
              <w:szCs w:val="32"/>
            </w:rPr>
            <w:fldChar w:fldCharType="end"/>
          </w:r>
          <w:r>
            <w:rPr>
              <w:rStyle w:val="16"/>
              <w:rFonts w:ascii="仿宋_GB2312"/>
              <w:szCs w:val="32"/>
            </w:rPr>
            <w:fldChar w:fldCharType="end"/>
          </w:r>
        </w:p>
        <w:p>
          <w:pPr>
            <w:pStyle w:val="11"/>
            <w:tabs>
              <w:tab w:val="right" w:leader="dot" w:pos="8296"/>
            </w:tabs>
            <w:ind w:firstLine="0" w:firstLineChars="0"/>
            <w:rPr>
              <w:rStyle w:val="16"/>
              <w:rFonts w:ascii="仿宋_GB2312"/>
              <w:szCs w:val="32"/>
            </w:rPr>
          </w:pPr>
          <w:r>
            <w:fldChar w:fldCharType="begin"/>
          </w:r>
          <w:r>
            <w:instrText xml:space="preserve"> HYPERLINK \l "_Toc111637900" </w:instrText>
          </w:r>
          <w:r>
            <w:fldChar w:fldCharType="separate"/>
          </w:r>
          <w:r>
            <w:rPr>
              <w:rStyle w:val="16"/>
              <w:rFonts w:ascii="仿宋_GB2312"/>
              <w:szCs w:val="32"/>
            </w:rPr>
            <w:t>六、问题分析与总结</w:t>
          </w:r>
          <w:r>
            <w:rPr>
              <w:rStyle w:val="16"/>
              <w:rFonts w:ascii="仿宋_GB2312"/>
              <w:szCs w:val="32"/>
            </w:rPr>
            <w:tab/>
          </w:r>
          <w:r>
            <w:rPr>
              <w:rStyle w:val="16"/>
              <w:rFonts w:ascii="仿宋_GB2312"/>
              <w:szCs w:val="32"/>
            </w:rPr>
            <w:fldChar w:fldCharType="begin"/>
          </w:r>
          <w:r>
            <w:rPr>
              <w:rStyle w:val="16"/>
              <w:rFonts w:ascii="仿宋_GB2312"/>
              <w:szCs w:val="32"/>
            </w:rPr>
            <w:instrText xml:space="preserve"> PAGEREF _Toc111637900 \h </w:instrText>
          </w:r>
          <w:r>
            <w:rPr>
              <w:rStyle w:val="16"/>
              <w:rFonts w:ascii="仿宋_GB2312"/>
              <w:szCs w:val="32"/>
            </w:rPr>
            <w:fldChar w:fldCharType="separate"/>
          </w:r>
          <w:r>
            <w:rPr>
              <w:rStyle w:val="16"/>
              <w:rFonts w:ascii="仿宋_GB2312"/>
              <w:szCs w:val="32"/>
            </w:rPr>
            <w:t>15</w:t>
          </w:r>
          <w:r>
            <w:rPr>
              <w:rStyle w:val="16"/>
              <w:rFonts w:ascii="仿宋_GB2312"/>
              <w:szCs w:val="32"/>
            </w:rPr>
            <w:fldChar w:fldCharType="end"/>
          </w:r>
          <w:r>
            <w:rPr>
              <w:rStyle w:val="16"/>
              <w:rFonts w:ascii="仿宋_GB2312"/>
              <w:szCs w:val="32"/>
            </w:rPr>
            <w:fldChar w:fldCharType="end"/>
          </w:r>
        </w:p>
        <w:p>
          <w:pPr>
            <w:pStyle w:val="11"/>
            <w:tabs>
              <w:tab w:val="right" w:leader="dot" w:pos="8296"/>
            </w:tabs>
            <w:ind w:firstLine="0" w:firstLineChars="0"/>
            <w:rPr>
              <w:rStyle w:val="16"/>
              <w:rFonts w:ascii="仿宋_GB2312"/>
              <w:szCs w:val="32"/>
            </w:rPr>
          </w:pPr>
          <w:r>
            <w:fldChar w:fldCharType="begin"/>
          </w:r>
          <w:r>
            <w:instrText xml:space="preserve"> HYPERLINK \l "_Toc111637904" </w:instrText>
          </w:r>
          <w:r>
            <w:fldChar w:fldCharType="separate"/>
          </w:r>
          <w:r>
            <w:rPr>
              <w:rStyle w:val="16"/>
              <w:rFonts w:ascii="仿宋_GB2312"/>
              <w:szCs w:val="32"/>
            </w:rPr>
            <w:t>七、改进建议</w:t>
          </w:r>
          <w:r>
            <w:rPr>
              <w:rStyle w:val="16"/>
              <w:rFonts w:ascii="仿宋_GB2312"/>
              <w:szCs w:val="32"/>
            </w:rPr>
            <w:tab/>
          </w:r>
          <w:r>
            <w:rPr>
              <w:rStyle w:val="16"/>
              <w:rFonts w:ascii="仿宋_GB2312"/>
              <w:szCs w:val="32"/>
            </w:rPr>
            <w:fldChar w:fldCharType="begin"/>
          </w:r>
          <w:r>
            <w:rPr>
              <w:rStyle w:val="16"/>
              <w:rFonts w:ascii="仿宋_GB2312"/>
              <w:szCs w:val="32"/>
            </w:rPr>
            <w:instrText xml:space="preserve"> PAGEREF _Toc111637904 \h </w:instrText>
          </w:r>
          <w:r>
            <w:rPr>
              <w:rStyle w:val="16"/>
              <w:rFonts w:ascii="仿宋_GB2312"/>
              <w:szCs w:val="32"/>
            </w:rPr>
            <w:fldChar w:fldCharType="separate"/>
          </w:r>
          <w:r>
            <w:rPr>
              <w:rStyle w:val="16"/>
              <w:rFonts w:ascii="仿宋_GB2312"/>
              <w:szCs w:val="32"/>
            </w:rPr>
            <w:t>16</w:t>
          </w:r>
          <w:r>
            <w:rPr>
              <w:rStyle w:val="16"/>
              <w:rFonts w:ascii="仿宋_GB2312"/>
              <w:szCs w:val="32"/>
            </w:rPr>
            <w:fldChar w:fldCharType="end"/>
          </w:r>
          <w:r>
            <w:rPr>
              <w:rStyle w:val="16"/>
              <w:rFonts w:ascii="仿宋_GB2312"/>
              <w:szCs w:val="32"/>
            </w:rPr>
            <w:fldChar w:fldCharType="end"/>
          </w:r>
        </w:p>
        <w:p>
          <w:pPr>
            <w:pStyle w:val="11"/>
            <w:tabs>
              <w:tab w:val="right" w:leader="dot" w:pos="8296"/>
            </w:tabs>
            <w:ind w:firstLine="0" w:firstLineChars="0"/>
            <w:rPr>
              <w:rStyle w:val="16"/>
              <w:rFonts w:ascii="仿宋_GB2312"/>
              <w:b/>
              <w:bCs/>
              <w:szCs w:val="32"/>
            </w:rPr>
          </w:pPr>
          <w:r>
            <w:rPr>
              <w:rStyle w:val="16"/>
              <w:rFonts w:hint="eastAsia" w:ascii="仿宋_GB2312"/>
              <w:color w:val="auto"/>
              <w:szCs w:val="32"/>
              <w:u w:val="none"/>
            </w:rPr>
            <w:t>附件：中心</w:t>
          </w:r>
          <w:r>
            <w:rPr>
              <w:rStyle w:val="16"/>
              <w:rFonts w:ascii="仿宋_GB2312"/>
              <w:color w:val="auto"/>
              <w:szCs w:val="32"/>
              <w:u w:val="none"/>
            </w:rPr>
            <w:t>2021年度信息系统维护项目支出绩效评价指标体系</w:t>
          </w:r>
          <w:r>
            <w:fldChar w:fldCharType="begin"/>
          </w:r>
          <w:r>
            <w:instrText xml:space="preserve"> HYPERLINK \l "_Toc111637904" </w:instrText>
          </w:r>
          <w:r>
            <w:fldChar w:fldCharType="separate"/>
          </w:r>
          <w:r>
            <w:rPr>
              <w:rStyle w:val="16"/>
              <w:rFonts w:ascii="仿宋_GB2312"/>
              <w:szCs w:val="32"/>
            </w:rPr>
            <w:tab/>
          </w:r>
          <w:r>
            <w:rPr>
              <w:rStyle w:val="16"/>
              <w:rFonts w:ascii="仿宋_GB2312"/>
              <w:szCs w:val="32"/>
            </w:rPr>
            <w:fldChar w:fldCharType="begin"/>
          </w:r>
          <w:r>
            <w:rPr>
              <w:rStyle w:val="16"/>
              <w:rFonts w:ascii="仿宋_GB2312"/>
              <w:szCs w:val="32"/>
            </w:rPr>
            <w:instrText xml:space="preserve"> PAGEREF _Toc111637904 \h </w:instrText>
          </w:r>
          <w:r>
            <w:rPr>
              <w:rStyle w:val="16"/>
              <w:rFonts w:ascii="仿宋_GB2312"/>
              <w:szCs w:val="32"/>
            </w:rPr>
            <w:fldChar w:fldCharType="separate"/>
          </w:r>
          <w:r>
            <w:rPr>
              <w:rStyle w:val="16"/>
              <w:rFonts w:ascii="仿宋_GB2312"/>
              <w:szCs w:val="32"/>
            </w:rPr>
            <w:t>18</w:t>
          </w:r>
          <w:r>
            <w:rPr>
              <w:rStyle w:val="16"/>
              <w:rFonts w:ascii="仿宋_GB2312"/>
              <w:szCs w:val="32"/>
            </w:rPr>
            <w:fldChar w:fldCharType="end"/>
          </w:r>
          <w:r>
            <w:rPr>
              <w:rStyle w:val="16"/>
              <w:rFonts w:ascii="仿宋_GB2312"/>
              <w:szCs w:val="32"/>
            </w:rPr>
            <w:fldChar w:fldCharType="end"/>
          </w:r>
        </w:p>
        <w:p>
          <w:pPr>
            <w:pStyle w:val="11"/>
            <w:tabs>
              <w:tab w:val="right" w:leader="dot" w:pos="8296"/>
            </w:tabs>
            <w:ind w:firstLine="0" w:firstLineChars="0"/>
          </w:pPr>
          <w:r>
            <w:rPr>
              <w:rStyle w:val="16"/>
              <w:rFonts w:hint="eastAsia" w:ascii="仿宋_GB2312"/>
              <w:b/>
              <w:bCs/>
              <w:szCs w:val="32"/>
            </w:rPr>
            <w:fldChar w:fldCharType="end"/>
          </w:r>
        </w:p>
      </w:sdtContent>
    </w:sdt>
    <w:p>
      <w:pPr>
        <w:ind w:firstLine="640"/>
      </w:pPr>
    </w:p>
    <w:p>
      <w:pPr>
        <w:widowControl/>
        <w:ind w:firstLine="198" w:firstLineChars="62"/>
        <w:jc w:val="left"/>
        <w:rPr>
          <w:rFonts w:ascii="黑体" w:hAnsi="黑体" w:eastAsia="黑体"/>
        </w:rPr>
        <w:sectPr>
          <w:headerReference r:id="rId7" w:type="first"/>
          <w:footerReference r:id="rId10" w:type="first"/>
          <w:headerReference r:id="rId5" w:type="default"/>
          <w:footerReference r:id="rId8" w:type="default"/>
          <w:headerReference r:id="rId6" w:type="even"/>
          <w:footerReference r:id="rId9" w:type="even"/>
          <w:pgSz w:w="11906" w:h="16838"/>
          <w:pgMar w:top="1440" w:right="1800" w:bottom="1440" w:left="1800" w:header="851" w:footer="992" w:gutter="0"/>
          <w:cols w:space="425" w:num="1"/>
          <w:docGrid w:type="lines" w:linePitch="312" w:charSpace="0"/>
        </w:sectPr>
      </w:pPr>
    </w:p>
    <w:p>
      <w:pPr>
        <w:pStyle w:val="2"/>
        <w:ind w:firstLine="640"/>
      </w:pPr>
      <w:bookmarkStart w:id="0" w:name="_Toc111637864"/>
      <w:r>
        <w:rPr>
          <w:rFonts w:hint="eastAsia"/>
        </w:rPr>
        <w:t>一、基本情况</w:t>
      </w:r>
      <w:bookmarkEnd w:id="0"/>
    </w:p>
    <w:p>
      <w:pPr>
        <w:pStyle w:val="2"/>
        <w:ind w:firstLine="643"/>
        <w:rPr>
          <w:rFonts w:eastAsia="楷体_GB2312"/>
          <w:b/>
          <w:szCs w:val="40"/>
        </w:rPr>
      </w:pPr>
      <w:bookmarkStart w:id="1" w:name="_Toc111637865"/>
      <w:r>
        <w:rPr>
          <w:rFonts w:hint="eastAsia" w:eastAsia="楷体_GB2312"/>
          <w:b/>
          <w:szCs w:val="40"/>
        </w:rPr>
        <w:t>（一）项目概况</w:t>
      </w:r>
      <w:bookmarkEnd w:id="1"/>
    </w:p>
    <w:p>
      <w:pPr>
        <w:pStyle w:val="4"/>
        <w:ind w:firstLine="643"/>
        <w:rPr>
          <w:rFonts w:ascii="仿宋_GB2312"/>
        </w:rPr>
      </w:pPr>
      <w:bookmarkStart w:id="2" w:name="_Toc111637866"/>
      <w:r>
        <w:rPr>
          <w:rFonts w:hint="eastAsia" w:ascii="仿宋_GB2312"/>
        </w:rPr>
        <w:t>1.项目背景</w:t>
      </w:r>
      <w:bookmarkEnd w:id="2"/>
    </w:p>
    <w:p>
      <w:pPr>
        <w:ind w:firstLine="640"/>
      </w:pPr>
      <w:r>
        <w:rPr>
          <w:rFonts w:hint="eastAsia"/>
        </w:rPr>
        <w:t>为了适应深圳特区经济发展以及深化政府会计改革的深化，在现行会计制度的基础上，财政部明确规定财政资金</w:t>
      </w:r>
    </w:p>
    <w:p>
      <w:pPr>
        <w:ind w:firstLine="0" w:firstLineChars="0"/>
      </w:pPr>
      <w:r>
        <w:rPr>
          <w:rFonts w:hint="eastAsia" w:ascii="仿宋_GB2312"/>
        </w:rPr>
        <w:t>实行收支两条线的管理模式，单位支出严格按照预算规定执行，在保证单位资金所有权、使用权不变的前提下，理顺并加强了财政部门在单位财务管理中的事前预测、事中管理权限，规范了相应的审批程序。自2009年</w:t>
      </w:r>
      <w:r>
        <w:rPr>
          <w:rFonts w:ascii="仿宋_GB2312"/>
        </w:rPr>
        <w:t>1</w:t>
      </w:r>
      <w:r>
        <w:rPr>
          <w:rFonts w:hint="eastAsia" w:ascii="仿宋_GB2312"/>
        </w:rPr>
        <w:t>月由市财政委员会牵头建设的市、区“金财工程”、“国库集中支付系统”核心业务系统全面上线以来，部门预算编制系统、指标管理系统、国库集中支付系统、总账系统、综合查询系统也全部开通，这为各政府机关单位财务集中监督管理工作搭建了硬件基础。深圳市福田区国库支付中心为响应集中支付改革的精神，在认真调研分析后，于2012年开发完成了新的财务电算化系统，每年对该系统进行维护，并根据政策或职能的需求对系统功能进行改进升级。</w:t>
      </w:r>
    </w:p>
    <w:p>
      <w:pPr>
        <w:pStyle w:val="4"/>
        <w:ind w:firstLine="643"/>
        <w:rPr>
          <w:rFonts w:ascii="仿宋_GB2312"/>
        </w:rPr>
      </w:pPr>
      <w:bookmarkStart w:id="3" w:name="_Toc111637867"/>
      <w:r>
        <w:rPr>
          <w:rFonts w:hint="eastAsia" w:ascii="仿宋_GB2312"/>
        </w:rPr>
        <w:t>2</w:t>
      </w:r>
      <w:r>
        <w:rPr>
          <w:rFonts w:ascii="仿宋_GB2312"/>
        </w:rPr>
        <w:t>.</w:t>
      </w:r>
      <w:r>
        <w:rPr>
          <w:rFonts w:hint="eastAsia" w:ascii="仿宋_GB2312"/>
        </w:rPr>
        <w:t>项目主要内容及实施情况</w:t>
      </w:r>
      <w:bookmarkEnd w:id="3"/>
    </w:p>
    <w:p>
      <w:pPr>
        <w:ind w:firstLine="640"/>
        <w:rPr>
          <w:rFonts w:ascii="仿宋_GB2312"/>
        </w:rPr>
      </w:pPr>
      <w:r>
        <w:rPr>
          <w:rFonts w:hint="eastAsia" w:ascii="仿宋_GB2312"/>
        </w:rPr>
        <w:t>2</w:t>
      </w:r>
      <w:r>
        <w:rPr>
          <w:rFonts w:ascii="仿宋_GB2312"/>
        </w:rPr>
        <w:t>021</w:t>
      </w:r>
      <w:r>
        <w:rPr>
          <w:rFonts w:hint="eastAsia" w:ascii="仿宋_GB2312"/>
        </w:rPr>
        <w:t>年度“信息系统维护”项目工作包含：财务电算化系统、财务服务平台系统的运维及升级。</w:t>
      </w:r>
    </w:p>
    <w:p>
      <w:pPr>
        <w:ind w:firstLine="640"/>
        <w:rPr>
          <w:rFonts w:ascii="仿宋_GB2312"/>
        </w:rPr>
      </w:pPr>
      <w:r>
        <w:rPr>
          <w:rFonts w:hint="eastAsia" w:ascii="仿宋_GB2312"/>
        </w:rPr>
        <w:t>（1）系统运维的主要内容是：一是计算机及相关设备变更带来的环境适配对系统的调整。二是操作系统与软件适配带来对系统的调整。三是系统重新安装、数据修复。四是系统故障排除和数据调整。五是系统日常运行过程中的技术咨询。</w:t>
      </w:r>
    </w:p>
    <w:p>
      <w:pPr>
        <w:ind w:firstLine="640"/>
        <w:rPr>
          <w:rFonts w:ascii="仿宋_GB2312"/>
        </w:rPr>
      </w:pPr>
      <w:r>
        <w:rPr>
          <w:rFonts w:hint="eastAsia" w:ascii="仿宋_GB2312"/>
        </w:rPr>
        <w:t>系统升级的主要内容为：一是对系统进行升级安装、调试完成并按时上线。二是新增功能模块：①区内资产无偿调拨提醒；②报表批量生成；③凭证审核退单统计关联记账凭证查询。三是现场维护。四是数据维护需求技术服务。</w:t>
      </w:r>
    </w:p>
    <w:p>
      <w:pPr>
        <w:pStyle w:val="4"/>
        <w:ind w:firstLine="643"/>
        <w:rPr>
          <w:rFonts w:ascii="仿宋_GB2312"/>
        </w:rPr>
      </w:pPr>
      <w:bookmarkStart w:id="4" w:name="_Toc111637868"/>
      <w:r>
        <w:rPr>
          <w:rFonts w:hint="eastAsia" w:ascii="仿宋_GB2312"/>
        </w:rPr>
        <w:t>3.项目资金投入和使用情况</w:t>
      </w:r>
      <w:bookmarkEnd w:id="4"/>
    </w:p>
    <w:p>
      <w:pPr>
        <w:ind w:firstLine="640"/>
        <w:rPr>
          <w:rFonts w:ascii="仿宋_GB2312"/>
        </w:rPr>
      </w:pPr>
      <w:r>
        <w:rPr>
          <w:rFonts w:hint="eastAsia" w:ascii="仿宋_GB2312"/>
        </w:rPr>
        <w:t>20</w:t>
      </w:r>
      <w:r>
        <w:rPr>
          <w:rFonts w:ascii="仿宋_GB2312"/>
        </w:rPr>
        <w:t>2</w:t>
      </w:r>
      <w:r>
        <w:rPr>
          <w:rFonts w:hint="eastAsia" w:ascii="仿宋_GB2312"/>
        </w:rPr>
        <w:t>1年度“信息系统维护”项目年初预算安排44.2万元，全年预算安排43.</w:t>
      </w:r>
      <w:r>
        <w:rPr>
          <w:rFonts w:ascii="仿宋_GB2312"/>
        </w:rPr>
        <w:t>90</w:t>
      </w:r>
      <w:r>
        <w:rPr>
          <w:rFonts w:hint="eastAsia" w:ascii="仿宋_GB2312"/>
        </w:rPr>
        <w:t>万元。截至20</w:t>
      </w:r>
      <w:r>
        <w:rPr>
          <w:rFonts w:ascii="仿宋_GB2312"/>
        </w:rPr>
        <w:t>2</w:t>
      </w:r>
      <w:r>
        <w:rPr>
          <w:rFonts w:hint="eastAsia" w:ascii="仿宋_GB2312"/>
        </w:rPr>
        <w:t>1年年底，项目实际支出43.68万元，预算执行率为99.</w:t>
      </w:r>
      <w:r>
        <w:rPr>
          <w:rFonts w:ascii="仿宋_GB2312"/>
        </w:rPr>
        <w:t>50</w:t>
      </w:r>
      <w:r>
        <w:rPr>
          <w:rFonts w:hint="eastAsia" w:ascii="仿宋_GB2312"/>
        </w:rPr>
        <w:t>%。</w:t>
      </w:r>
    </w:p>
    <w:p>
      <w:pPr>
        <w:pStyle w:val="2"/>
        <w:ind w:firstLine="643"/>
        <w:rPr>
          <w:rFonts w:eastAsia="楷体_GB2312"/>
          <w:b/>
          <w:szCs w:val="40"/>
        </w:rPr>
      </w:pPr>
      <w:bookmarkStart w:id="5" w:name="_Toc111637869"/>
      <w:r>
        <w:rPr>
          <w:rFonts w:hint="eastAsia" w:eastAsia="楷体_GB2312"/>
          <w:b/>
          <w:szCs w:val="40"/>
        </w:rPr>
        <w:t>（二）项目绩效目标</w:t>
      </w:r>
      <w:bookmarkEnd w:id="5"/>
    </w:p>
    <w:p>
      <w:pPr>
        <w:spacing w:line="600" w:lineRule="exact"/>
        <w:ind w:firstLine="640"/>
        <w:rPr>
          <w:rFonts w:ascii="仿宋_GB2312"/>
        </w:rPr>
      </w:pPr>
      <w:r>
        <w:rPr>
          <w:rFonts w:hint="eastAsia" w:ascii="仿宋_GB2312"/>
        </w:rPr>
        <w:t>项目的总体目标为：（1）升级信息化系统，更好地满足业务发展需要；（2）保障信息系统安全稳定运行，延长设备使用寿命；（3）促进办公信息化建设，提高工作效率。</w:t>
      </w:r>
    </w:p>
    <w:p>
      <w:pPr>
        <w:spacing w:line="600" w:lineRule="exact"/>
        <w:ind w:firstLine="640"/>
        <w:rPr>
          <w:rFonts w:ascii="仿宋_GB2312"/>
        </w:rPr>
      </w:pPr>
      <w:r>
        <w:rPr>
          <w:rFonts w:hint="eastAsia" w:ascii="仿宋_GB2312"/>
        </w:rPr>
        <w:t>阶段性目标为：（1）完成财务软件维护及升级；（2）保障信息系统正常运转，为业务开展提供支撑。</w:t>
      </w:r>
    </w:p>
    <w:p>
      <w:pPr>
        <w:pStyle w:val="2"/>
        <w:ind w:firstLine="640"/>
      </w:pPr>
      <w:bookmarkStart w:id="6" w:name="_Toc111637870"/>
      <w:r>
        <w:rPr>
          <w:rFonts w:hint="eastAsia"/>
        </w:rPr>
        <w:t>二、绩效评价工作开展情况</w:t>
      </w:r>
      <w:bookmarkEnd w:id="6"/>
    </w:p>
    <w:p>
      <w:pPr>
        <w:pStyle w:val="2"/>
        <w:ind w:firstLine="643"/>
        <w:rPr>
          <w:rFonts w:eastAsia="楷体_GB2312"/>
          <w:b/>
          <w:szCs w:val="40"/>
        </w:rPr>
      </w:pPr>
      <w:bookmarkStart w:id="7" w:name="_Toc111637871"/>
      <w:r>
        <w:rPr>
          <w:rFonts w:hint="eastAsia" w:eastAsia="楷体_GB2312"/>
          <w:b/>
          <w:szCs w:val="40"/>
        </w:rPr>
        <w:t>（一）绩效评价目的、对象和范围</w:t>
      </w:r>
      <w:bookmarkEnd w:id="7"/>
    </w:p>
    <w:p>
      <w:pPr>
        <w:pStyle w:val="4"/>
        <w:ind w:firstLine="643"/>
        <w:rPr>
          <w:rFonts w:ascii="仿宋_GB2312"/>
        </w:rPr>
      </w:pPr>
      <w:bookmarkStart w:id="8" w:name="_Toc111637872"/>
      <w:r>
        <w:rPr>
          <w:rFonts w:hint="eastAsia" w:ascii="仿宋_GB2312"/>
        </w:rPr>
        <w:t>1</w:t>
      </w:r>
      <w:r>
        <w:rPr>
          <w:rFonts w:ascii="仿宋_GB2312"/>
        </w:rPr>
        <w:t>.</w:t>
      </w:r>
      <w:r>
        <w:rPr>
          <w:rFonts w:hint="eastAsia" w:ascii="仿宋_GB2312"/>
        </w:rPr>
        <w:t>绩效评价目的</w:t>
      </w:r>
      <w:bookmarkEnd w:id="8"/>
    </w:p>
    <w:p>
      <w:pPr>
        <w:spacing w:line="600" w:lineRule="exact"/>
        <w:ind w:firstLine="640"/>
        <w:rPr>
          <w:rFonts w:ascii="仿宋_GB2312"/>
        </w:rPr>
      </w:pPr>
      <w:r>
        <w:rPr>
          <w:rFonts w:hint="eastAsia" w:ascii="仿宋_GB2312"/>
        </w:rPr>
        <w:t>本次绩效评价旨在通过对2</w:t>
      </w:r>
      <w:r>
        <w:rPr>
          <w:rFonts w:ascii="仿宋_GB2312"/>
        </w:rPr>
        <w:t>021</w:t>
      </w:r>
      <w:r>
        <w:rPr>
          <w:rFonts w:hint="eastAsia" w:ascii="仿宋_GB2312"/>
        </w:rPr>
        <w:t>年度“信息系统维护”项目决策、过程、产出和效益进行全面分析，作为完善内部管理以及提高财政资金使用效益的重要手段。一是发现项目管理存在的问题，为后续我中心改进内部管理提出建议，二是分析项目资金使用绩效，着力提高财政资源配置效率和使用效益。此次绩效评价结果将作为中心以后年度部门预算安排、政策完善和管理改进的重要依据。</w:t>
      </w:r>
    </w:p>
    <w:p>
      <w:pPr>
        <w:pStyle w:val="4"/>
        <w:ind w:firstLine="643"/>
        <w:rPr>
          <w:rFonts w:ascii="仿宋_GB2312"/>
        </w:rPr>
      </w:pPr>
      <w:bookmarkStart w:id="9" w:name="_Toc111637873"/>
      <w:r>
        <w:rPr>
          <w:rFonts w:ascii="仿宋_GB2312"/>
        </w:rPr>
        <w:t>2.</w:t>
      </w:r>
      <w:r>
        <w:rPr>
          <w:rFonts w:hint="eastAsia" w:ascii="仿宋_GB2312"/>
        </w:rPr>
        <w:t>绩效评价对象</w:t>
      </w:r>
      <w:bookmarkEnd w:id="9"/>
    </w:p>
    <w:p>
      <w:pPr>
        <w:spacing w:line="600" w:lineRule="exact"/>
        <w:ind w:firstLine="640"/>
        <w:rPr>
          <w:rFonts w:ascii="仿宋_GB2312"/>
        </w:rPr>
      </w:pPr>
      <w:r>
        <w:rPr>
          <w:rFonts w:hint="eastAsia" w:ascii="仿宋_GB2312"/>
        </w:rPr>
        <w:t>本次评价对象为中心2021年度“信息系统维护”项目，是中心的重要履职项目。</w:t>
      </w:r>
    </w:p>
    <w:p>
      <w:pPr>
        <w:pStyle w:val="4"/>
        <w:ind w:firstLine="643"/>
        <w:rPr>
          <w:rFonts w:ascii="仿宋_GB2312"/>
        </w:rPr>
      </w:pPr>
      <w:r>
        <w:rPr>
          <w:rFonts w:ascii="仿宋_GB2312"/>
        </w:rPr>
        <w:t>3.</w:t>
      </w:r>
      <w:r>
        <w:rPr>
          <w:rFonts w:hint="eastAsia" w:ascii="仿宋_GB2312"/>
        </w:rPr>
        <w:t>绩效评价范围</w:t>
      </w:r>
    </w:p>
    <w:p>
      <w:pPr>
        <w:spacing w:line="600" w:lineRule="exact"/>
        <w:ind w:firstLine="640"/>
        <w:rPr>
          <w:rFonts w:ascii="仿宋_GB2312"/>
        </w:rPr>
      </w:pPr>
      <w:r>
        <w:rPr>
          <w:rFonts w:hint="eastAsia" w:ascii="仿宋_GB2312"/>
        </w:rPr>
        <w:t>“信息系统维护”项目作为此次重点项目绩效评价的对象，评价小组从项目的决策情况、资金管理和使用情况、相关管理制度办法的健全性及执行情况、项目实现的产出和取得的效益情况等方面对项目开展绩效评价。</w:t>
      </w:r>
    </w:p>
    <w:p>
      <w:pPr>
        <w:pStyle w:val="2"/>
        <w:ind w:firstLine="643"/>
        <w:rPr>
          <w:rFonts w:eastAsia="楷体_GB2312"/>
          <w:b/>
          <w:szCs w:val="40"/>
        </w:rPr>
      </w:pPr>
      <w:bookmarkStart w:id="10" w:name="_Toc111637874"/>
      <w:r>
        <w:rPr>
          <w:rFonts w:hint="eastAsia" w:eastAsia="楷体_GB2312"/>
          <w:b/>
          <w:szCs w:val="40"/>
        </w:rPr>
        <w:t>（二）绩效评价原则、评价指标体系、评价方法、评价标准等</w:t>
      </w:r>
      <w:bookmarkEnd w:id="10"/>
    </w:p>
    <w:p>
      <w:pPr>
        <w:pStyle w:val="4"/>
        <w:ind w:firstLine="643"/>
        <w:rPr>
          <w:rFonts w:ascii="仿宋_GB2312"/>
        </w:rPr>
      </w:pPr>
      <w:bookmarkStart w:id="11" w:name="_Toc107312447"/>
      <w:r>
        <w:rPr>
          <w:rFonts w:ascii="仿宋_GB2312"/>
        </w:rPr>
        <w:t>1.</w:t>
      </w:r>
      <w:r>
        <w:rPr>
          <w:rFonts w:hint="eastAsia" w:ascii="仿宋_GB2312"/>
        </w:rPr>
        <w:t>绩效评价原则</w:t>
      </w:r>
      <w:bookmarkEnd w:id="11"/>
    </w:p>
    <w:p>
      <w:pPr>
        <w:ind w:firstLine="640"/>
        <w:rPr>
          <w:rFonts w:ascii="仿宋_GB2312"/>
        </w:rPr>
      </w:pPr>
      <w:r>
        <w:rPr>
          <w:rFonts w:hint="eastAsia" w:ascii="仿宋_GB2312" w:hAnsi="仿宋_GB2312"/>
        </w:rPr>
        <w:t>评价小组遵循</w:t>
      </w:r>
      <w:r>
        <w:rPr>
          <w:rFonts w:hint="eastAsia"/>
          <w:szCs w:val="40"/>
        </w:rPr>
        <w:t>科学公正、统筹兼顾、激励约束和公开透明</w:t>
      </w:r>
      <w:r>
        <w:rPr>
          <w:rFonts w:hint="eastAsia" w:ascii="仿宋_GB2312" w:hAnsi="仿宋_GB2312"/>
        </w:rPr>
        <w:t>的基本原则，</w:t>
      </w:r>
      <w:r>
        <w:rPr>
          <w:rFonts w:hint="eastAsia" w:ascii="仿宋_GB2312"/>
        </w:rPr>
        <w:t>对中心2021年度开展的“信息系统维护”项目</w:t>
      </w:r>
      <w:r>
        <w:rPr>
          <w:rFonts w:ascii="仿宋_GB2312"/>
        </w:rPr>
        <w:t>进行绩效评价</w:t>
      </w:r>
      <w:r>
        <w:rPr>
          <w:rFonts w:hint="eastAsia" w:ascii="仿宋_GB2312"/>
        </w:rPr>
        <w:t>。</w:t>
      </w:r>
    </w:p>
    <w:p>
      <w:pPr>
        <w:pStyle w:val="4"/>
        <w:ind w:firstLine="643"/>
        <w:rPr>
          <w:rFonts w:ascii="仿宋_GB2312"/>
        </w:rPr>
      </w:pPr>
      <w:r>
        <w:rPr>
          <w:rFonts w:hint="eastAsia" w:ascii="仿宋_GB2312"/>
        </w:rPr>
        <w:t>2</w:t>
      </w:r>
      <w:r>
        <w:rPr>
          <w:rFonts w:ascii="仿宋_GB2312"/>
        </w:rPr>
        <w:t>.</w:t>
      </w:r>
      <w:r>
        <w:rPr>
          <w:rFonts w:hint="eastAsia" w:ascii="仿宋_GB2312"/>
        </w:rPr>
        <w:t>评价指标体系及评价标准</w:t>
      </w:r>
    </w:p>
    <w:p>
      <w:pPr>
        <w:ind w:firstLine="640"/>
        <w:rPr>
          <w:szCs w:val="40"/>
        </w:rPr>
      </w:pPr>
      <w:r>
        <w:rPr>
          <w:rFonts w:hint="eastAsia" w:ascii="仿宋_GB2312" w:hAnsi="仿宋_GB2312"/>
        </w:rPr>
        <w:t>评价小组根据外部政策有关要求，结合项目工作实际，</w:t>
      </w:r>
      <w:r>
        <w:rPr>
          <w:rFonts w:hint="eastAsia"/>
          <w:szCs w:val="40"/>
        </w:rPr>
        <w:t>设置了与评价对象密切相关，能够综合反映项目决策、项目及资金管理、产出和效益的评价指标体系</w:t>
      </w:r>
      <w:r>
        <w:rPr>
          <w:rFonts w:hint="eastAsia" w:ascii="仿宋_GB2312" w:hAnsi="仿宋_GB2312"/>
        </w:rPr>
        <w:t>，</w:t>
      </w:r>
      <w:r>
        <w:rPr>
          <w:rFonts w:hint="eastAsia"/>
          <w:szCs w:val="40"/>
        </w:rPr>
        <w:t>指标设置精简实用且具有代表性，能直接反映产出和效益；指标内涵明确、具体、可衡量；数据及佐证资料可采集、可获得。</w:t>
      </w:r>
    </w:p>
    <w:p>
      <w:pPr>
        <w:ind w:firstLine="640"/>
        <w:rPr>
          <w:rFonts w:ascii="仿宋_GB2312" w:hAnsi="仿宋_GB2312"/>
        </w:rPr>
      </w:pPr>
      <w:r>
        <w:rPr>
          <w:rFonts w:hint="eastAsia" w:ascii="仿宋_GB2312" w:hAnsi="仿宋_GB2312"/>
        </w:rPr>
        <w:t>本次绩效评价指标体系共分为三级，包括一级指标4项、二级指标</w:t>
      </w:r>
      <w:r>
        <w:rPr>
          <w:rFonts w:ascii="仿宋_GB2312" w:hAnsi="仿宋_GB2312"/>
        </w:rPr>
        <w:t>11</w:t>
      </w:r>
      <w:r>
        <w:rPr>
          <w:rFonts w:hint="eastAsia" w:ascii="仿宋_GB2312" w:hAnsi="仿宋_GB2312"/>
        </w:rPr>
        <w:t>项、三级指标</w:t>
      </w:r>
      <w:r>
        <w:rPr>
          <w:rFonts w:ascii="仿宋_GB2312" w:hAnsi="仿宋_GB2312"/>
        </w:rPr>
        <w:t>24</w:t>
      </w:r>
      <w:r>
        <w:rPr>
          <w:rFonts w:hint="eastAsia" w:ascii="仿宋_GB2312" w:hAnsi="仿宋_GB2312"/>
        </w:rPr>
        <w:t>项，总分100分，主要从项目决策、过程、产出、效益等四个部分开展项目绩效评价工作。</w:t>
      </w:r>
    </w:p>
    <w:p>
      <w:pPr>
        <w:pStyle w:val="4"/>
        <w:ind w:firstLine="643"/>
        <w:rPr>
          <w:rFonts w:ascii="仿宋_GB2312"/>
        </w:rPr>
      </w:pPr>
      <w:bookmarkStart w:id="12" w:name="_Toc107312449"/>
      <w:r>
        <w:rPr>
          <w:rFonts w:ascii="仿宋_GB2312"/>
        </w:rPr>
        <w:t>3.</w:t>
      </w:r>
      <w:r>
        <w:rPr>
          <w:rFonts w:hint="eastAsia" w:ascii="仿宋_GB2312"/>
        </w:rPr>
        <w:t>绩效评价方法</w:t>
      </w:r>
      <w:bookmarkEnd w:id="12"/>
    </w:p>
    <w:p>
      <w:pPr>
        <w:ind w:firstLine="640"/>
        <w:rPr>
          <w:rFonts w:ascii="仿宋_GB2312" w:hAnsi="仿宋_GB2312"/>
        </w:rPr>
      </w:pPr>
      <w:r>
        <w:rPr>
          <w:rFonts w:hint="eastAsia" w:ascii="仿宋_GB2312" w:hAnsi="仿宋_GB2312"/>
        </w:rPr>
        <w:t>评价小组在构建指标体系的基础上，通过参考计划标准、行业标准、历史标准等评价标准对项目绩效指标完成情况进行比较，采用比较法、因素分析法等评价方法对项目进行综合评价，评价项目绩效目标完成情况和项目实施的绩效情况，分析评价中发现的问题并提出改善建议。</w:t>
      </w:r>
    </w:p>
    <w:p>
      <w:pPr>
        <w:pStyle w:val="4"/>
        <w:ind w:firstLine="643"/>
        <w:rPr>
          <w:rFonts w:ascii="仿宋_GB2312"/>
        </w:rPr>
      </w:pPr>
      <w:bookmarkStart w:id="13" w:name="_Toc107312450"/>
      <w:r>
        <w:rPr>
          <w:rFonts w:ascii="仿宋_GB2312"/>
        </w:rPr>
        <w:t>4.</w:t>
      </w:r>
      <w:r>
        <w:rPr>
          <w:rFonts w:hint="eastAsia" w:ascii="仿宋_GB2312"/>
        </w:rPr>
        <w:t>绩效评价标准</w:t>
      </w:r>
      <w:bookmarkEnd w:id="13"/>
    </w:p>
    <w:p>
      <w:pPr>
        <w:spacing w:line="600" w:lineRule="exact"/>
        <w:ind w:firstLine="0" w:firstLineChars="0"/>
        <w:rPr>
          <w:rFonts w:ascii="仿宋_GB2312"/>
        </w:rPr>
      </w:pPr>
      <w:r>
        <w:rPr>
          <w:rFonts w:hint="eastAsia" w:ascii="仿宋_GB2312" w:hAnsi="仿宋_GB2312"/>
        </w:rPr>
        <w:t>本次绩效评价结果采取评分和评级相结合的方式，具体分值和等级可根据项目具体工作情况评定。</w:t>
      </w:r>
      <w:r>
        <w:rPr>
          <w:rFonts w:hint="eastAsia"/>
          <w:szCs w:val="40"/>
        </w:rPr>
        <w:t>绩效评价体系</w:t>
      </w:r>
      <w:r>
        <w:rPr>
          <w:rFonts w:hint="eastAsia" w:ascii="仿宋_GB2312" w:hAnsi="仿宋_GB2312"/>
        </w:rPr>
        <w:t>总分设置为100分，等级划分为四档：90（含）-100分为优、80（含）-90分为良、60（含）-80分为中、60分以下为差。</w:t>
      </w:r>
    </w:p>
    <w:p>
      <w:pPr>
        <w:pStyle w:val="2"/>
        <w:ind w:firstLine="643"/>
        <w:rPr>
          <w:rFonts w:eastAsia="楷体_GB2312"/>
          <w:b/>
          <w:szCs w:val="40"/>
        </w:rPr>
      </w:pPr>
      <w:bookmarkStart w:id="14" w:name="_Toc111637875"/>
      <w:r>
        <w:rPr>
          <w:rFonts w:hint="eastAsia" w:eastAsia="楷体_GB2312"/>
          <w:b/>
          <w:szCs w:val="40"/>
        </w:rPr>
        <w:t>（三）绩效评价工作过程</w:t>
      </w:r>
      <w:bookmarkEnd w:id="14"/>
    </w:p>
    <w:p>
      <w:pPr>
        <w:pStyle w:val="4"/>
        <w:ind w:firstLine="643"/>
        <w:rPr>
          <w:rFonts w:ascii="仿宋_GB2312"/>
        </w:rPr>
      </w:pPr>
      <w:bookmarkStart w:id="15" w:name="_Toc111637876"/>
      <w:r>
        <w:rPr>
          <w:rFonts w:hint="eastAsia" w:ascii="仿宋_GB2312"/>
        </w:rPr>
        <w:t>1</w:t>
      </w:r>
      <w:r>
        <w:rPr>
          <w:rFonts w:ascii="仿宋_GB2312"/>
        </w:rPr>
        <w:t>.</w:t>
      </w:r>
      <w:r>
        <w:rPr>
          <w:rFonts w:hint="eastAsia" w:ascii="仿宋_GB2312"/>
        </w:rPr>
        <w:t>前期准备阶段</w:t>
      </w:r>
      <w:bookmarkEnd w:id="15"/>
    </w:p>
    <w:p>
      <w:pPr>
        <w:ind w:firstLine="640"/>
        <w:rPr>
          <w:rFonts w:ascii="仿宋_GB2312"/>
        </w:rPr>
      </w:pPr>
      <w:r>
        <w:rPr>
          <w:rFonts w:hint="eastAsia" w:ascii="仿宋_GB2312"/>
        </w:rPr>
        <w:t>评价小组对项目进行必要的研究和分析，初步掌握预期目标和特点，并在此基础上设置和完善资料清单、访谈提纲、调研计划及工作人员满意度调查问卷等，为项目后续开展做好充分准备。</w:t>
      </w:r>
    </w:p>
    <w:p>
      <w:pPr>
        <w:pStyle w:val="4"/>
        <w:ind w:firstLine="643"/>
        <w:rPr>
          <w:rFonts w:ascii="仿宋_GB2312"/>
        </w:rPr>
      </w:pPr>
      <w:bookmarkStart w:id="16" w:name="_Toc111637877"/>
      <w:r>
        <w:rPr>
          <w:rFonts w:hint="eastAsia" w:ascii="仿宋_GB2312"/>
        </w:rPr>
        <w:t>2</w:t>
      </w:r>
      <w:r>
        <w:rPr>
          <w:rFonts w:ascii="仿宋_GB2312"/>
        </w:rPr>
        <w:t>.</w:t>
      </w:r>
      <w:r>
        <w:rPr>
          <w:rFonts w:hint="eastAsia" w:ascii="仿宋_GB2312"/>
        </w:rPr>
        <w:t>组织实施阶段</w:t>
      </w:r>
      <w:bookmarkEnd w:id="16"/>
    </w:p>
    <w:p>
      <w:pPr>
        <w:ind w:firstLine="640"/>
        <w:rPr>
          <w:rFonts w:ascii="仿宋_GB2312" w:hAnsi="仿宋_GB2312"/>
        </w:rPr>
      </w:pPr>
      <w:r>
        <w:rPr>
          <w:rFonts w:hint="eastAsia" w:ascii="仿宋_GB2312" w:hAnsi="仿宋_GB2312"/>
        </w:rPr>
        <w:t>（1）资料收集与调研</w:t>
      </w:r>
    </w:p>
    <w:p>
      <w:pPr>
        <w:ind w:firstLine="640"/>
        <w:rPr>
          <w:rFonts w:ascii="仿宋_GB2312"/>
        </w:rPr>
      </w:pPr>
      <w:r>
        <w:rPr>
          <w:rFonts w:hint="eastAsia" w:ascii="仿宋_GB2312"/>
        </w:rPr>
        <w:t>评价小组通过内外部政策文件、制度条文的收集整理及分析，初步拟定项目资料收集清单，由相关部门准备并提供评价所需资料。</w:t>
      </w:r>
    </w:p>
    <w:p>
      <w:pPr>
        <w:ind w:firstLine="640"/>
        <w:rPr>
          <w:rFonts w:ascii="仿宋_GB2312"/>
        </w:rPr>
      </w:pPr>
      <w:r>
        <w:rPr>
          <w:rFonts w:hint="eastAsia" w:ascii="仿宋_GB2312"/>
        </w:rPr>
        <w:t>评价小组通过资料现场查阅、关键人员访谈等方式，开展凭证抽查与访谈调研工作，进一步了解项目工作具体过程及资金发放情况。</w:t>
      </w:r>
    </w:p>
    <w:p>
      <w:pPr>
        <w:ind w:firstLine="640"/>
        <w:rPr>
          <w:rFonts w:ascii="仿宋_GB2312" w:hAnsi="仿宋_GB2312"/>
        </w:rPr>
      </w:pPr>
      <w:r>
        <w:rPr>
          <w:rFonts w:hint="eastAsia" w:ascii="仿宋_GB2312" w:hAnsi="仿宋_GB2312"/>
        </w:rPr>
        <w:t>（2）绩效评价指标设计</w:t>
      </w:r>
    </w:p>
    <w:p>
      <w:pPr>
        <w:ind w:firstLine="640"/>
        <w:rPr>
          <w:rFonts w:ascii="仿宋_GB2312"/>
        </w:rPr>
      </w:pPr>
      <w:r>
        <w:rPr>
          <w:rFonts w:hint="eastAsia" w:ascii="仿宋_GB2312"/>
        </w:rPr>
        <w:t>评价小组根据区财政局有关政策文件要求及制度规定，结合项目绩效目标、实际工作情况，依托数据分析及现场调研结果，充分考虑项目实际特点设计项目绩效评价指标体系，明确指标评价内容及评价标准。</w:t>
      </w:r>
    </w:p>
    <w:p>
      <w:pPr>
        <w:ind w:firstLine="640"/>
        <w:rPr>
          <w:rFonts w:ascii="仿宋_GB2312" w:hAnsi="仿宋_GB2312"/>
        </w:rPr>
      </w:pPr>
      <w:r>
        <w:rPr>
          <w:rFonts w:hint="eastAsia" w:ascii="仿宋_GB2312" w:hAnsi="仿宋_GB2312"/>
        </w:rPr>
        <w:t>（3）绩效评分</w:t>
      </w:r>
    </w:p>
    <w:p>
      <w:pPr>
        <w:ind w:firstLine="640"/>
        <w:rPr>
          <w:rFonts w:ascii="仿宋_GB2312"/>
        </w:rPr>
      </w:pPr>
      <w:r>
        <w:rPr>
          <w:rFonts w:hint="eastAsia" w:ascii="仿宋_GB2312"/>
        </w:rPr>
        <w:t>评价小组根据项目调研情况，根据绩效评价指标体系对项目进行初步评分。</w:t>
      </w:r>
    </w:p>
    <w:p>
      <w:pPr>
        <w:pStyle w:val="4"/>
        <w:ind w:firstLine="643"/>
        <w:rPr>
          <w:rFonts w:ascii="仿宋_GB2312"/>
        </w:rPr>
      </w:pPr>
      <w:bookmarkStart w:id="17" w:name="_Toc111637878"/>
      <w:r>
        <w:rPr>
          <w:rFonts w:hint="eastAsia" w:ascii="仿宋_GB2312"/>
        </w:rPr>
        <w:t>3</w:t>
      </w:r>
      <w:r>
        <w:rPr>
          <w:rFonts w:ascii="仿宋_GB2312"/>
        </w:rPr>
        <w:t>.</w:t>
      </w:r>
      <w:r>
        <w:rPr>
          <w:rFonts w:hint="eastAsia" w:ascii="仿宋_GB2312"/>
        </w:rPr>
        <w:t>报告出具阶段</w:t>
      </w:r>
      <w:bookmarkEnd w:id="17"/>
    </w:p>
    <w:p>
      <w:pPr>
        <w:ind w:firstLine="640"/>
        <w:rPr>
          <w:rFonts w:ascii="仿宋_GB2312"/>
        </w:rPr>
      </w:pPr>
      <w:r>
        <w:rPr>
          <w:rFonts w:hint="eastAsia" w:ascii="仿宋_GB2312"/>
        </w:rPr>
        <w:t>评价小组根据项目评估情况，对绩效目标、项目执行情况、项目效益、存在问题等进行客观阐述和分析，并提出下一步工作建议，在此基础上形成项目绩效评价报告初稿，征求中心领导意见后，修改完善形成正式的绩效评价报告。</w:t>
      </w:r>
    </w:p>
    <w:p>
      <w:pPr>
        <w:pStyle w:val="2"/>
        <w:ind w:firstLine="640"/>
        <w:rPr>
          <w:rFonts w:ascii="仿宋_GB2312"/>
        </w:rPr>
      </w:pPr>
      <w:bookmarkStart w:id="18" w:name="_Toc111637879"/>
      <w:r>
        <w:rPr>
          <w:rStyle w:val="18"/>
          <w:rFonts w:hint="eastAsia"/>
          <w:bCs w:val="0"/>
        </w:rPr>
        <w:t>三、综合评价情况及评价结论</w:t>
      </w:r>
      <w:bookmarkEnd w:id="18"/>
    </w:p>
    <w:p>
      <w:pPr>
        <w:ind w:firstLine="640"/>
        <w:rPr>
          <w:rFonts w:ascii="仿宋_GB2312"/>
        </w:rPr>
      </w:pPr>
      <w:r>
        <w:rPr>
          <w:rFonts w:hint="eastAsia" w:ascii="仿宋_GB2312" w:hAnsi="仿宋_GB2312"/>
        </w:rPr>
        <w:t>评价小组基于项目绩效评价指标体系开展评分工作，最终计算出项目综合评分为</w:t>
      </w:r>
      <w:r>
        <w:rPr>
          <w:rFonts w:ascii="仿宋_GB2312" w:hAnsi="仿宋_GB2312"/>
        </w:rPr>
        <w:t>95.59</w:t>
      </w:r>
      <w:r>
        <w:rPr>
          <w:rFonts w:hint="eastAsia" w:ascii="仿宋_GB2312" w:hAnsi="仿宋_GB2312"/>
        </w:rPr>
        <w:t>分，评定等级为“优”。其中，项目决策</w:t>
      </w:r>
      <w:r>
        <w:rPr>
          <w:rFonts w:ascii="仿宋_GB2312" w:hAnsi="仿宋_GB2312"/>
        </w:rPr>
        <w:t>20</w:t>
      </w:r>
      <w:r>
        <w:rPr>
          <w:rFonts w:hint="eastAsia" w:ascii="仿宋_GB2312" w:hAnsi="仿宋_GB2312"/>
        </w:rPr>
        <w:t>分，项目过程</w:t>
      </w:r>
      <w:r>
        <w:rPr>
          <w:rFonts w:ascii="仿宋_GB2312" w:hAnsi="仿宋_GB2312"/>
        </w:rPr>
        <w:t>19.48</w:t>
      </w:r>
      <w:r>
        <w:rPr>
          <w:rFonts w:hint="eastAsia" w:ascii="仿宋_GB2312" w:hAnsi="仿宋_GB2312"/>
        </w:rPr>
        <w:t>分，项目产出</w:t>
      </w:r>
      <w:r>
        <w:rPr>
          <w:rFonts w:ascii="仿宋_GB2312" w:hAnsi="仿宋_GB2312"/>
        </w:rPr>
        <w:t>31.96</w:t>
      </w:r>
      <w:r>
        <w:rPr>
          <w:rFonts w:hint="eastAsia" w:ascii="仿宋_GB2312" w:hAnsi="仿宋_GB2312"/>
        </w:rPr>
        <w:t>分，项目效益</w:t>
      </w:r>
      <w:r>
        <w:rPr>
          <w:rFonts w:ascii="仿宋_GB2312" w:hAnsi="仿宋_GB2312"/>
        </w:rPr>
        <w:t>24.15</w:t>
      </w:r>
      <w:r>
        <w:rPr>
          <w:rFonts w:hint="eastAsia" w:ascii="仿宋_GB2312" w:hAnsi="仿宋_GB2312"/>
        </w:rPr>
        <w:t>分。各指标评分情况详见附件。</w:t>
      </w:r>
    </w:p>
    <w:tbl>
      <w:tblPr>
        <w:tblStyle w:val="14"/>
        <w:tblW w:w="8359" w:type="dxa"/>
        <w:tblInd w:w="0" w:type="dxa"/>
        <w:tblLayout w:type="autofit"/>
        <w:tblCellMar>
          <w:top w:w="0" w:type="dxa"/>
          <w:left w:w="108" w:type="dxa"/>
          <w:bottom w:w="0" w:type="dxa"/>
          <w:right w:w="108" w:type="dxa"/>
        </w:tblCellMar>
      </w:tblPr>
      <w:tblGrid>
        <w:gridCol w:w="846"/>
        <w:gridCol w:w="850"/>
        <w:gridCol w:w="1134"/>
        <w:gridCol w:w="851"/>
        <w:gridCol w:w="2977"/>
        <w:gridCol w:w="850"/>
        <w:gridCol w:w="851"/>
      </w:tblGrid>
      <w:tr>
        <w:tblPrEx>
          <w:tblCellMar>
            <w:top w:w="0" w:type="dxa"/>
            <w:left w:w="108" w:type="dxa"/>
            <w:bottom w:w="0" w:type="dxa"/>
            <w:right w:w="108" w:type="dxa"/>
          </w:tblCellMar>
        </w:tblPrEx>
        <w:trPr>
          <w:cantSplit/>
          <w:trHeight w:val="405" w:hRule="atLeast"/>
          <w:tblHeader/>
        </w:trPr>
        <w:tc>
          <w:tcPr>
            <w:tcW w:w="1696" w:type="dxa"/>
            <w:gridSpan w:val="2"/>
            <w:tcBorders>
              <w:top w:val="single" w:color="000000" w:sz="4" w:space="0"/>
              <w:left w:val="single" w:color="000000" w:sz="4" w:space="0"/>
              <w:bottom w:val="single" w:color="000000" w:sz="4" w:space="0"/>
              <w:right w:val="single" w:color="000000" w:sz="4" w:space="0"/>
            </w:tcBorders>
            <w:shd w:val="clear" w:color="auto" w:fill="AEAAAA" w:themeFill="background2" w:themeFillShade="BF"/>
            <w:noWrap/>
            <w:vAlign w:val="center"/>
          </w:tcPr>
          <w:p>
            <w:pPr>
              <w:widowControl/>
              <w:spacing w:line="240" w:lineRule="auto"/>
              <w:ind w:firstLine="0" w:firstLineChars="0"/>
              <w:jc w:val="center"/>
              <w:textAlignment w:val="center"/>
              <w:rPr>
                <w:rFonts w:ascii="仿宋_GB2312" w:hAnsi="宋体" w:cs="仿宋"/>
                <w:b/>
                <w:bCs/>
                <w:color w:val="000000"/>
                <w:sz w:val="21"/>
                <w:szCs w:val="21"/>
              </w:rPr>
            </w:pPr>
            <w:r>
              <w:rPr>
                <w:rFonts w:hint="eastAsia" w:ascii="仿宋_GB2312" w:hAnsi="宋体" w:cs="仿宋"/>
                <w:b/>
                <w:bCs/>
                <w:color w:val="000000"/>
                <w:kern w:val="0"/>
                <w:sz w:val="21"/>
                <w:szCs w:val="21"/>
                <w:lang w:bidi="ar"/>
              </w:rPr>
              <w:t>一级指标</w:t>
            </w:r>
          </w:p>
        </w:tc>
        <w:tc>
          <w:tcPr>
            <w:tcW w:w="1985" w:type="dxa"/>
            <w:gridSpan w:val="2"/>
            <w:tcBorders>
              <w:top w:val="single" w:color="000000" w:sz="4" w:space="0"/>
              <w:left w:val="single" w:color="000000" w:sz="4" w:space="0"/>
              <w:bottom w:val="single" w:color="000000" w:sz="4" w:space="0"/>
              <w:right w:val="single" w:color="000000" w:sz="4" w:space="0"/>
            </w:tcBorders>
            <w:shd w:val="clear" w:color="auto" w:fill="AEAAAA" w:themeFill="background2" w:themeFillShade="BF"/>
            <w:noWrap/>
            <w:vAlign w:val="center"/>
          </w:tcPr>
          <w:p>
            <w:pPr>
              <w:widowControl/>
              <w:spacing w:line="240" w:lineRule="auto"/>
              <w:ind w:firstLine="0" w:firstLineChars="0"/>
              <w:jc w:val="center"/>
              <w:textAlignment w:val="center"/>
              <w:rPr>
                <w:rFonts w:ascii="仿宋_GB2312" w:hAnsi="宋体" w:cs="仿宋"/>
                <w:b/>
                <w:bCs/>
                <w:color w:val="000000"/>
                <w:sz w:val="21"/>
                <w:szCs w:val="21"/>
              </w:rPr>
            </w:pPr>
            <w:r>
              <w:rPr>
                <w:rFonts w:hint="eastAsia" w:ascii="仿宋_GB2312" w:hAnsi="宋体" w:cs="仿宋"/>
                <w:b/>
                <w:bCs/>
                <w:color w:val="000000"/>
                <w:kern w:val="0"/>
                <w:sz w:val="21"/>
                <w:szCs w:val="21"/>
                <w:lang w:bidi="ar"/>
              </w:rPr>
              <w:t>二级指标</w:t>
            </w:r>
          </w:p>
        </w:tc>
        <w:tc>
          <w:tcPr>
            <w:tcW w:w="4678" w:type="dxa"/>
            <w:gridSpan w:val="3"/>
            <w:tcBorders>
              <w:top w:val="single" w:color="000000" w:sz="4" w:space="0"/>
              <w:left w:val="single" w:color="000000" w:sz="4" w:space="0"/>
              <w:bottom w:val="single" w:color="000000" w:sz="4" w:space="0"/>
              <w:right w:val="single" w:color="000000" w:sz="4" w:space="0"/>
            </w:tcBorders>
            <w:shd w:val="clear" w:color="auto" w:fill="AEAAAA" w:themeFill="background2" w:themeFillShade="BF"/>
            <w:noWrap/>
            <w:vAlign w:val="center"/>
          </w:tcPr>
          <w:p>
            <w:pPr>
              <w:widowControl/>
              <w:spacing w:line="240" w:lineRule="auto"/>
              <w:ind w:firstLine="0" w:firstLineChars="0"/>
              <w:jc w:val="center"/>
              <w:textAlignment w:val="center"/>
              <w:rPr>
                <w:rFonts w:ascii="仿宋_GB2312" w:hAnsi="宋体" w:cs="仿宋"/>
                <w:b/>
                <w:bCs/>
                <w:color w:val="000000"/>
                <w:kern w:val="0"/>
                <w:sz w:val="21"/>
                <w:szCs w:val="21"/>
                <w:lang w:bidi="ar"/>
              </w:rPr>
            </w:pPr>
            <w:r>
              <w:rPr>
                <w:rFonts w:hint="eastAsia" w:ascii="仿宋_GB2312" w:hAnsi="宋体" w:cs="仿宋"/>
                <w:b/>
                <w:bCs/>
                <w:color w:val="000000"/>
                <w:kern w:val="0"/>
                <w:sz w:val="21"/>
                <w:szCs w:val="21"/>
                <w:lang w:bidi="ar"/>
              </w:rPr>
              <w:t>三级指标</w:t>
            </w:r>
          </w:p>
        </w:tc>
      </w:tr>
      <w:tr>
        <w:tblPrEx>
          <w:tblCellMar>
            <w:top w:w="0" w:type="dxa"/>
            <w:left w:w="108" w:type="dxa"/>
            <w:bottom w:w="0" w:type="dxa"/>
            <w:right w:w="108" w:type="dxa"/>
          </w:tblCellMar>
        </w:tblPrEx>
        <w:trPr>
          <w:trHeight w:val="23" w:hRule="atLeast"/>
        </w:trPr>
        <w:tc>
          <w:tcPr>
            <w:tcW w:w="8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240" w:lineRule="auto"/>
              <w:ind w:firstLine="0" w:firstLineChars="0"/>
              <w:jc w:val="center"/>
              <w:textAlignment w:val="center"/>
              <w:rPr>
                <w:rFonts w:ascii="仿宋_GB2312" w:hAnsi="宋体" w:cs="仿宋"/>
                <w:b/>
                <w:bCs/>
                <w:color w:val="000000"/>
                <w:sz w:val="21"/>
                <w:szCs w:val="21"/>
              </w:rPr>
            </w:pPr>
            <w:r>
              <w:rPr>
                <w:rFonts w:hint="eastAsia" w:ascii="仿宋_GB2312" w:hAnsi="宋体" w:cs="仿宋"/>
                <w:b/>
                <w:bCs/>
                <w:color w:val="000000"/>
                <w:kern w:val="0"/>
                <w:sz w:val="21"/>
                <w:szCs w:val="21"/>
                <w:lang w:bidi="ar"/>
              </w:rPr>
              <w:t>名称</w:t>
            </w:r>
          </w:p>
        </w:tc>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240" w:lineRule="auto"/>
              <w:ind w:firstLine="0" w:firstLineChars="0"/>
              <w:jc w:val="center"/>
              <w:textAlignment w:val="center"/>
              <w:rPr>
                <w:rFonts w:ascii="仿宋_GB2312" w:hAnsi="宋体" w:cs="仿宋"/>
                <w:b/>
                <w:bCs/>
                <w:color w:val="000000"/>
                <w:sz w:val="21"/>
                <w:szCs w:val="21"/>
              </w:rPr>
            </w:pPr>
            <w:r>
              <w:rPr>
                <w:rFonts w:hint="eastAsia" w:ascii="仿宋_GB2312" w:hAnsi="宋体" w:cs="仿宋"/>
                <w:b/>
                <w:bCs/>
                <w:color w:val="000000"/>
                <w:kern w:val="0"/>
                <w:sz w:val="21"/>
                <w:szCs w:val="21"/>
                <w:lang w:bidi="ar"/>
              </w:rPr>
              <w:t>权重</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240" w:lineRule="auto"/>
              <w:ind w:firstLine="0" w:firstLineChars="0"/>
              <w:jc w:val="center"/>
              <w:textAlignment w:val="center"/>
              <w:rPr>
                <w:rFonts w:ascii="仿宋_GB2312" w:hAnsi="宋体" w:cs="仿宋"/>
                <w:b/>
                <w:bCs/>
                <w:color w:val="000000"/>
                <w:sz w:val="21"/>
                <w:szCs w:val="21"/>
              </w:rPr>
            </w:pPr>
            <w:r>
              <w:rPr>
                <w:rFonts w:hint="eastAsia" w:ascii="仿宋_GB2312" w:hAnsi="宋体" w:cs="仿宋"/>
                <w:b/>
                <w:bCs/>
                <w:color w:val="000000"/>
                <w:kern w:val="0"/>
                <w:sz w:val="21"/>
                <w:szCs w:val="21"/>
                <w:lang w:bidi="ar"/>
              </w:rPr>
              <w:t>名称</w:t>
            </w:r>
          </w:p>
        </w:tc>
        <w:tc>
          <w:tcPr>
            <w:tcW w:w="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240" w:lineRule="auto"/>
              <w:ind w:firstLine="0" w:firstLineChars="0"/>
              <w:jc w:val="center"/>
              <w:textAlignment w:val="center"/>
              <w:rPr>
                <w:rFonts w:ascii="仿宋_GB2312" w:hAnsi="宋体" w:cs="仿宋"/>
                <w:b/>
                <w:bCs/>
                <w:color w:val="000000"/>
                <w:sz w:val="21"/>
                <w:szCs w:val="21"/>
              </w:rPr>
            </w:pPr>
            <w:r>
              <w:rPr>
                <w:rFonts w:hint="eastAsia" w:ascii="仿宋_GB2312" w:hAnsi="宋体" w:cs="仿宋"/>
                <w:b/>
                <w:bCs/>
                <w:color w:val="000000"/>
                <w:kern w:val="0"/>
                <w:sz w:val="21"/>
                <w:szCs w:val="21"/>
                <w:lang w:bidi="ar"/>
              </w:rPr>
              <w:t>权重</w:t>
            </w:r>
          </w:p>
        </w:tc>
        <w:tc>
          <w:tcPr>
            <w:tcW w:w="29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240" w:lineRule="auto"/>
              <w:ind w:firstLine="0" w:firstLineChars="0"/>
              <w:jc w:val="center"/>
              <w:textAlignment w:val="center"/>
              <w:rPr>
                <w:rFonts w:ascii="仿宋_GB2312" w:hAnsi="宋体" w:cs="仿宋"/>
                <w:b/>
                <w:bCs/>
                <w:color w:val="000000"/>
                <w:sz w:val="21"/>
                <w:szCs w:val="21"/>
              </w:rPr>
            </w:pPr>
            <w:r>
              <w:rPr>
                <w:rFonts w:hint="eastAsia" w:ascii="仿宋_GB2312" w:hAnsi="宋体" w:cs="仿宋"/>
                <w:b/>
                <w:bCs/>
                <w:color w:val="000000"/>
                <w:kern w:val="0"/>
                <w:sz w:val="21"/>
                <w:szCs w:val="21"/>
                <w:lang w:bidi="ar"/>
              </w:rPr>
              <w:t>名称</w:t>
            </w:r>
          </w:p>
        </w:tc>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240" w:lineRule="auto"/>
              <w:ind w:firstLine="0" w:firstLineChars="0"/>
              <w:jc w:val="center"/>
              <w:textAlignment w:val="center"/>
              <w:rPr>
                <w:rFonts w:ascii="仿宋_GB2312" w:hAnsi="宋体" w:cs="仿宋"/>
                <w:b/>
                <w:bCs/>
                <w:color w:val="000000"/>
                <w:sz w:val="21"/>
                <w:szCs w:val="21"/>
              </w:rPr>
            </w:pPr>
            <w:r>
              <w:rPr>
                <w:rFonts w:hint="eastAsia" w:ascii="仿宋_GB2312" w:hAnsi="宋体" w:cs="仿宋"/>
                <w:b/>
                <w:bCs/>
                <w:color w:val="000000"/>
                <w:kern w:val="0"/>
                <w:sz w:val="21"/>
                <w:szCs w:val="21"/>
                <w:lang w:bidi="ar"/>
              </w:rPr>
              <w:t>权重</w:t>
            </w:r>
          </w:p>
        </w:tc>
        <w:tc>
          <w:tcPr>
            <w:tcW w:w="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240" w:lineRule="auto"/>
              <w:ind w:firstLine="0" w:firstLineChars="0"/>
              <w:jc w:val="center"/>
              <w:textAlignment w:val="center"/>
              <w:rPr>
                <w:rFonts w:ascii="仿宋_GB2312" w:hAnsi="宋体" w:cs="仿宋"/>
                <w:b/>
                <w:bCs/>
                <w:color w:val="000000"/>
                <w:kern w:val="0"/>
                <w:sz w:val="21"/>
                <w:szCs w:val="21"/>
                <w:lang w:bidi="ar"/>
              </w:rPr>
            </w:pPr>
            <w:r>
              <w:rPr>
                <w:rFonts w:hint="eastAsia" w:ascii="仿宋_GB2312" w:hAnsi="宋体" w:cs="仿宋"/>
                <w:b/>
                <w:bCs/>
                <w:color w:val="000000"/>
                <w:kern w:val="0"/>
                <w:sz w:val="21"/>
                <w:szCs w:val="21"/>
                <w:lang w:bidi="ar"/>
              </w:rPr>
              <w:t>得分</w:t>
            </w:r>
          </w:p>
        </w:tc>
      </w:tr>
      <w:tr>
        <w:tblPrEx>
          <w:tblCellMar>
            <w:top w:w="0" w:type="dxa"/>
            <w:left w:w="108" w:type="dxa"/>
            <w:bottom w:w="0" w:type="dxa"/>
            <w:right w:w="108" w:type="dxa"/>
          </w:tblCellMar>
        </w:tblPrEx>
        <w:trPr>
          <w:trHeight w:val="23" w:hRule="atLeast"/>
        </w:trPr>
        <w:tc>
          <w:tcPr>
            <w:tcW w:w="84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auto"/>
              <w:ind w:firstLine="0" w:firstLineChars="0"/>
              <w:jc w:val="center"/>
              <w:textAlignment w:val="center"/>
              <w:rPr>
                <w:rFonts w:ascii="仿宋_GB2312" w:hAnsi="宋体" w:cs="仿宋"/>
                <w:color w:val="000000"/>
                <w:sz w:val="21"/>
                <w:szCs w:val="21"/>
              </w:rPr>
            </w:pPr>
            <w:r>
              <w:rPr>
                <w:rFonts w:hint="eastAsia" w:ascii="仿宋_GB2312" w:hAnsi="宋体" w:cs="仿宋"/>
                <w:color w:val="000000"/>
                <w:sz w:val="21"/>
                <w:szCs w:val="21"/>
              </w:rPr>
              <w:t>项目</w:t>
            </w:r>
          </w:p>
          <w:p>
            <w:pPr>
              <w:widowControl/>
              <w:spacing w:line="240" w:lineRule="auto"/>
              <w:ind w:firstLine="0" w:firstLineChars="0"/>
              <w:jc w:val="center"/>
              <w:textAlignment w:val="center"/>
              <w:rPr>
                <w:rFonts w:ascii="仿宋_GB2312" w:hAnsi="宋体" w:cs="仿宋"/>
                <w:color w:val="000000"/>
                <w:sz w:val="21"/>
                <w:szCs w:val="21"/>
              </w:rPr>
            </w:pPr>
            <w:r>
              <w:rPr>
                <w:rFonts w:hint="eastAsia" w:ascii="仿宋_GB2312" w:hAnsi="宋体" w:cs="仿宋"/>
                <w:color w:val="000000"/>
                <w:sz w:val="21"/>
                <w:szCs w:val="21"/>
              </w:rPr>
              <w:t>决策</w:t>
            </w:r>
          </w:p>
        </w:tc>
        <w:tc>
          <w:tcPr>
            <w:tcW w:w="8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auto"/>
              <w:ind w:firstLine="0" w:firstLineChars="0"/>
              <w:jc w:val="center"/>
              <w:textAlignment w:val="center"/>
              <w:rPr>
                <w:rFonts w:ascii="仿宋_GB2312" w:hAnsi="宋体" w:cs="仿宋"/>
                <w:color w:val="000000"/>
                <w:sz w:val="21"/>
                <w:szCs w:val="21"/>
              </w:rPr>
            </w:pPr>
            <w:r>
              <w:rPr>
                <w:rFonts w:ascii="仿宋_GB2312" w:hAnsi="宋体" w:cs="仿宋"/>
                <w:color w:val="000000"/>
                <w:kern w:val="0"/>
                <w:sz w:val="21"/>
                <w:szCs w:val="21"/>
                <w:lang w:bidi="ar"/>
              </w:rPr>
              <w:t>20</w:t>
            </w:r>
          </w:p>
        </w:tc>
        <w:tc>
          <w:tcPr>
            <w:tcW w:w="113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auto"/>
              <w:ind w:firstLine="0" w:firstLineChars="0"/>
              <w:jc w:val="center"/>
              <w:textAlignment w:val="center"/>
              <w:rPr>
                <w:rFonts w:ascii="仿宋_GB2312" w:hAnsi="宋体" w:cs="仿宋"/>
                <w:color w:val="000000"/>
                <w:sz w:val="21"/>
                <w:szCs w:val="21"/>
              </w:rPr>
            </w:pPr>
            <w:r>
              <w:rPr>
                <w:rFonts w:hint="eastAsia" w:ascii="仿宋_GB2312" w:hAnsi="宋体" w:cs="仿宋"/>
                <w:color w:val="000000"/>
                <w:kern w:val="0"/>
                <w:sz w:val="21"/>
                <w:szCs w:val="21"/>
                <w:lang w:bidi="ar"/>
              </w:rPr>
              <w:t>项目立项</w:t>
            </w:r>
          </w:p>
        </w:tc>
        <w:tc>
          <w:tcPr>
            <w:tcW w:w="851" w:type="dxa"/>
            <w:vMerge w:val="restart"/>
            <w:tcBorders>
              <w:top w:val="single" w:color="000000" w:sz="4" w:space="0"/>
              <w:left w:val="single" w:color="000000" w:sz="4" w:space="0"/>
              <w:bottom w:val="nil"/>
              <w:right w:val="single" w:color="000000" w:sz="4" w:space="0"/>
            </w:tcBorders>
            <w:shd w:val="clear" w:color="auto" w:fill="auto"/>
            <w:vAlign w:val="center"/>
          </w:tcPr>
          <w:p>
            <w:pPr>
              <w:widowControl/>
              <w:spacing w:line="240" w:lineRule="auto"/>
              <w:ind w:firstLine="0" w:firstLineChars="0"/>
              <w:jc w:val="center"/>
              <w:textAlignment w:val="center"/>
              <w:rPr>
                <w:rFonts w:ascii="仿宋_GB2312" w:hAnsi="宋体" w:cs="仿宋"/>
                <w:color w:val="000000"/>
                <w:sz w:val="21"/>
                <w:szCs w:val="21"/>
              </w:rPr>
            </w:pPr>
            <w:r>
              <w:rPr>
                <w:rFonts w:ascii="仿宋_GB2312" w:hAnsi="宋体" w:cs="仿宋"/>
                <w:color w:val="000000"/>
                <w:kern w:val="0"/>
                <w:sz w:val="21"/>
                <w:szCs w:val="21"/>
                <w:lang w:bidi="ar"/>
              </w:rPr>
              <w:t>6</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auto"/>
              <w:ind w:firstLine="630" w:firstLineChars="300"/>
              <w:textAlignment w:val="center"/>
              <w:rPr>
                <w:rFonts w:ascii="仿宋_GB2312" w:hAnsi="宋体" w:cs="仿宋"/>
                <w:color w:val="000000"/>
                <w:sz w:val="21"/>
                <w:szCs w:val="21"/>
              </w:rPr>
            </w:pPr>
            <w:r>
              <w:rPr>
                <w:rFonts w:hint="eastAsia" w:ascii="仿宋_GB2312" w:hAnsi="宋体" w:cs="仿宋"/>
                <w:color w:val="000000"/>
                <w:kern w:val="0"/>
                <w:sz w:val="21"/>
                <w:szCs w:val="21"/>
                <w:lang w:bidi="ar"/>
              </w:rPr>
              <w:t>立项依据充分性</w:t>
            </w:r>
          </w:p>
        </w:tc>
        <w:tc>
          <w:tcPr>
            <w:tcW w:w="850" w:type="dxa"/>
            <w:tcBorders>
              <w:top w:val="single" w:color="000000" w:sz="4" w:space="0"/>
              <w:left w:val="single" w:color="000000" w:sz="4" w:space="0"/>
              <w:bottom w:val="nil"/>
              <w:right w:val="single" w:color="000000" w:sz="4" w:space="0"/>
            </w:tcBorders>
            <w:shd w:val="clear" w:color="auto" w:fill="auto"/>
            <w:vAlign w:val="center"/>
          </w:tcPr>
          <w:p>
            <w:pPr>
              <w:widowControl/>
              <w:spacing w:line="240" w:lineRule="auto"/>
              <w:ind w:firstLine="0" w:firstLineChars="0"/>
              <w:jc w:val="center"/>
              <w:textAlignment w:val="center"/>
              <w:rPr>
                <w:rFonts w:ascii="仿宋_GB2312" w:hAnsi="宋体" w:cs="仿宋"/>
                <w:color w:val="000000"/>
                <w:sz w:val="21"/>
                <w:szCs w:val="21"/>
              </w:rPr>
            </w:pPr>
            <w:r>
              <w:rPr>
                <w:rFonts w:ascii="仿宋_GB2312" w:hAnsi="宋体" w:cs="仿宋"/>
                <w:color w:val="000000"/>
                <w:kern w:val="0"/>
                <w:sz w:val="21"/>
                <w:szCs w:val="21"/>
                <w:lang w:bidi="ar"/>
              </w:rPr>
              <w:t>4</w:t>
            </w:r>
          </w:p>
        </w:tc>
        <w:tc>
          <w:tcPr>
            <w:tcW w:w="851" w:type="dxa"/>
            <w:tcBorders>
              <w:top w:val="single" w:color="000000" w:sz="4" w:space="0"/>
              <w:left w:val="single" w:color="000000" w:sz="4" w:space="0"/>
              <w:bottom w:val="nil"/>
              <w:right w:val="single" w:color="000000" w:sz="4" w:space="0"/>
            </w:tcBorders>
            <w:shd w:val="clear" w:color="auto" w:fill="auto"/>
            <w:vAlign w:val="center"/>
          </w:tcPr>
          <w:p>
            <w:pPr>
              <w:widowControl/>
              <w:spacing w:line="240" w:lineRule="auto"/>
              <w:ind w:firstLine="0" w:firstLineChars="0"/>
              <w:jc w:val="center"/>
              <w:textAlignment w:val="center"/>
              <w:rPr>
                <w:rFonts w:ascii="仿宋_GB2312" w:hAnsi="宋体" w:cs="仿宋"/>
                <w:color w:val="000000"/>
                <w:kern w:val="0"/>
                <w:sz w:val="21"/>
                <w:szCs w:val="21"/>
                <w:lang w:bidi="ar"/>
              </w:rPr>
            </w:pPr>
            <w:r>
              <w:rPr>
                <w:rFonts w:ascii="仿宋_GB2312" w:hAnsi="宋体" w:cs="仿宋"/>
                <w:color w:val="000000"/>
                <w:kern w:val="0"/>
                <w:sz w:val="21"/>
                <w:szCs w:val="21"/>
                <w:lang w:bidi="ar"/>
              </w:rPr>
              <w:t>4</w:t>
            </w:r>
          </w:p>
        </w:tc>
      </w:tr>
      <w:tr>
        <w:tblPrEx>
          <w:tblCellMar>
            <w:top w:w="0" w:type="dxa"/>
            <w:left w:w="108" w:type="dxa"/>
            <w:bottom w:w="0" w:type="dxa"/>
            <w:right w:w="108" w:type="dxa"/>
          </w:tblCellMar>
        </w:tblPrEx>
        <w:trPr>
          <w:trHeight w:val="23" w:hRule="atLeast"/>
        </w:trPr>
        <w:tc>
          <w:tcPr>
            <w:tcW w:w="8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auto"/>
              <w:ind w:firstLine="420"/>
              <w:jc w:val="center"/>
              <w:rPr>
                <w:rFonts w:ascii="仿宋_GB2312" w:hAnsi="宋体" w:cs="仿宋"/>
                <w:color w:val="000000"/>
                <w:sz w:val="21"/>
                <w:szCs w:val="21"/>
              </w:rPr>
            </w:pPr>
          </w:p>
        </w:tc>
        <w:tc>
          <w:tcPr>
            <w:tcW w:w="8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auto"/>
              <w:ind w:firstLine="420"/>
              <w:jc w:val="center"/>
              <w:rPr>
                <w:rFonts w:ascii="仿宋_GB2312" w:hAnsi="宋体" w:cs="仿宋"/>
                <w:color w:val="000000"/>
                <w:sz w:val="21"/>
                <w:szCs w:val="21"/>
              </w:rPr>
            </w:pPr>
          </w:p>
        </w:tc>
        <w:tc>
          <w:tcPr>
            <w:tcW w:w="11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auto"/>
              <w:ind w:firstLine="420"/>
              <w:jc w:val="center"/>
              <w:rPr>
                <w:rFonts w:ascii="仿宋_GB2312" w:hAnsi="宋体" w:cs="仿宋"/>
                <w:color w:val="000000"/>
                <w:sz w:val="21"/>
                <w:szCs w:val="21"/>
              </w:rPr>
            </w:pPr>
          </w:p>
        </w:tc>
        <w:tc>
          <w:tcPr>
            <w:tcW w:w="851" w:type="dxa"/>
            <w:vMerge w:val="continue"/>
            <w:tcBorders>
              <w:top w:val="single" w:color="000000" w:sz="4" w:space="0"/>
              <w:left w:val="single" w:color="000000" w:sz="4" w:space="0"/>
              <w:bottom w:val="nil"/>
              <w:right w:val="single" w:color="000000" w:sz="4" w:space="0"/>
            </w:tcBorders>
            <w:shd w:val="clear" w:color="auto" w:fill="auto"/>
            <w:vAlign w:val="center"/>
          </w:tcPr>
          <w:p>
            <w:pPr>
              <w:spacing w:line="240" w:lineRule="auto"/>
              <w:ind w:firstLine="420"/>
              <w:jc w:val="center"/>
              <w:rPr>
                <w:rFonts w:ascii="仿宋_GB2312" w:hAnsi="宋体" w:cs="仿宋"/>
                <w:color w:val="000000"/>
                <w:sz w:val="21"/>
                <w:szCs w:val="21"/>
              </w:rPr>
            </w:pPr>
          </w:p>
        </w:tc>
        <w:tc>
          <w:tcPr>
            <w:tcW w:w="2977" w:type="dxa"/>
            <w:tcBorders>
              <w:top w:val="single" w:color="000000" w:sz="4" w:space="0"/>
              <w:left w:val="single" w:color="000000" w:sz="4" w:space="0"/>
              <w:bottom w:val="nil"/>
              <w:right w:val="single" w:color="000000" w:sz="4" w:space="0"/>
            </w:tcBorders>
            <w:shd w:val="clear" w:color="auto" w:fill="auto"/>
            <w:vAlign w:val="center"/>
          </w:tcPr>
          <w:p>
            <w:pPr>
              <w:widowControl/>
              <w:spacing w:line="240" w:lineRule="auto"/>
              <w:ind w:firstLine="0" w:firstLineChars="0"/>
              <w:jc w:val="center"/>
              <w:textAlignment w:val="center"/>
              <w:rPr>
                <w:rFonts w:ascii="仿宋_GB2312" w:hAnsi="宋体" w:cs="仿宋"/>
                <w:color w:val="000000"/>
                <w:sz w:val="21"/>
                <w:szCs w:val="21"/>
              </w:rPr>
            </w:pPr>
            <w:r>
              <w:rPr>
                <w:rFonts w:hint="eastAsia" w:ascii="仿宋_GB2312" w:hAnsi="宋体" w:cs="仿宋"/>
                <w:color w:val="000000"/>
                <w:kern w:val="0"/>
                <w:sz w:val="21"/>
                <w:szCs w:val="21"/>
                <w:lang w:bidi="ar"/>
              </w:rPr>
              <w:t>立项程序规范性</w:t>
            </w:r>
          </w:p>
        </w:tc>
        <w:tc>
          <w:tcPr>
            <w:tcW w:w="850" w:type="dxa"/>
            <w:tcBorders>
              <w:top w:val="single" w:color="000000" w:sz="4" w:space="0"/>
              <w:left w:val="single" w:color="000000" w:sz="4" w:space="0"/>
              <w:bottom w:val="nil"/>
              <w:right w:val="single" w:color="000000" w:sz="4" w:space="0"/>
            </w:tcBorders>
            <w:shd w:val="clear" w:color="auto" w:fill="auto"/>
            <w:vAlign w:val="center"/>
          </w:tcPr>
          <w:p>
            <w:pPr>
              <w:widowControl/>
              <w:spacing w:line="240" w:lineRule="auto"/>
              <w:ind w:firstLine="0" w:firstLineChars="0"/>
              <w:jc w:val="center"/>
              <w:textAlignment w:val="center"/>
              <w:rPr>
                <w:rFonts w:ascii="仿宋_GB2312" w:hAnsi="宋体" w:cs="仿宋"/>
                <w:color w:val="000000"/>
                <w:sz w:val="21"/>
                <w:szCs w:val="21"/>
              </w:rPr>
            </w:pPr>
            <w:r>
              <w:rPr>
                <w:rFonts w:ascii="仿宋_GB2312" w:hAnsi="宋体" w:cs="仿宋"/>
                <w:color w:val="000000"/>
                <w:kern w:val="0"/>
                <w:sz w:val="21"/>
                <w:szCs w:val="21"/>
                <w:lang w:bidi="ar"/>
              </w:rPr>
              <w:t>2</w:t>
            </w:r>
          </w:p>
        </w:tc>
        <w:tc>
          <w:tcPr>
            <w:tcW w:w="851" w:type="dxa"/>
            <w:tcBorders>
              <w:top w:val="single" w:color="000000" w:sz="4" w:space="0"/>
              <w:left w:val="single" w:color="000000" w:sz="4" w:space="0"/>
              <w:bottom w:val="nil"/>
              <w:right w:val="single" w:color="000000" w:sz="4" w:space="0"/>
            </w:tcBorders>
            <w:shd w:val="clear" w:color="auto" w:fill="auto"/>
            <w:vAlign w:val="center"/>
          </w:tcPr>
          <w:p>
            <w:pPr>
              <w:widowControl/>
              <w:spacing w:line="240" w:lineRule="auto"/>
              <w:ind w:firstLine="0" w:firstLineChars="0"/>
              <w:jc w:val="center"/>
              <w:textAlignment w:val="center"/>
              <w:rPr>
                <w:rFonts w:ascii="仿宋_GB2312" w:hAnsi="宋体" w:cs="仿宋"/>
                <w:color w:val="000000"/>
                <w:kern w:val="0"/>
                <w:sz w:val="21"/>
                <w:szCs w:val="21"/>
                <w:lang w:bidi="ar"/>
              </w:rPr>
            </w:pPr>
            <w:r>
              <w:rPr>
                <w:rFonts w:ascii="仿宋_GB2312" w:hAnsi="宋体" w:cs="仿宋"/>
                <w:color w:val="000000"/>
                <w:kern w:val="0"/>
                <w:sz w:val="21"/>
                <w:szCs w:val="21"/>
                <w:lang w:bidi="ar"/>
              </w:rPr>
              <w:t>2</w:t>
            </w:r>
          </w:p>
        </w:tc>
      </w:tr>
      <w:tr>
        <w:tblPrEx>
          <w:tblCellMar>
            <w:top w:w="0" w:type="dxa"/>
            <w:left w:w="108" w:type="dxa"/>
            <w:bottom w:w="0" w:type="dxa"/>
            <w:right w:w="108" w:type="dxa"/>
          </w:tblCellMar>
        </w:tblPrEx>
        <w:trPr>
          <w:trHeight w:val="23" w:hRule="atLeast"/>
        </w:trPr>
        <w:tc>
          <w:tcPr>
            <w:tcW w:w="8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auto"/>
              <w:ind w:firstLine="420"/>
              <w:jc w:val="center"/>
              <w:rPr>
                <w:rFonts w:ascii="仿宋_GB2312" w:hAnsi="宋体" w:cs="仿宋"/>
                <w:color w:val="000000"/>
                <w:sz w:val="21"/>
                <w:szCs w:val="21"/>
              </w:rPr>
            </w:pPr>
          </w:p>
        </w:tc>
        <w:tc>
          <w:tcPr>
            <w:tcW w:w="8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auto"/>
              <w:ind w:firstLine="420"/>
              <w:jc w:val="center"/>
              <w:rPr>
                <w:rFonts w:ascii="仿宋_GB2312" w:hAnsi="宋体" w:cs="仿宋"/>
                <w:color w:val="000000"/>
                <w:sz w:val="21"/>
                <w:szCs w:val="21"/>
              </w:rPr>
            </w:pPr>
          </w:p>
        </w:tc>
        <w:tc>
          <w:tcPr>
            <w:tcW w:w="1134" w:type="dxa"/>
            <w:vMerge w:val="restart"/>
            <w:tcBorders>
              <w:top w:val="single" w:color="000000" w:sz="4" w:space="0"/>
              <w:left w:val="single" w:color="000000" w:sz="4" w:space="0"/>
              <w:bottom w:val="nil"/>
              <w:right w:val="single" w:color="000000" w:sz="4" w:space="0"/>
            </w:tcBorders>
            <w:shd w:val="clear" w:color="auto" w:fill="auto"/>
            <w:vAlign w:val="center"/>
          </w:tcPr>
          <w:p>
            <w:pPr>
              <w:widowControl/>
              <w:spacing w:line="240" w:lineRule="auto"/>
              <w:ind w:firstLine="0" w:firstLineChars="0"/>
              <w:jc w:val="center"/>
              <w:textAlignment w:val="center"/>
              <w:rPr>
                <w:rFonts w:ascii="仿宋_GB2312" w:hAnsi="宋体" w:cs="仿宋"/>
                <w:color w:val="000000"/>
                <w:sz w:val="21"/>
                <w:szCs w:val="21"/>
              </w:rPr>
            </w:pPr>
            <w:r>
              <w:rPr>
                <w:rFonts w:hint="eastAsia" w:ascii="仿宋_GB2312" w:hAnsi="宋体" w:cs="仿宋"/>
                <w:color w:val="000000"/>
                <w:kern w:val="0"/>
                <w:sz w:val="21"/>
                <w:szCs w:val="21"/>
                <w:lang w:bidi="ar"/>
              </w:rPr>
              <w:t>绩效目标</w:t>
            </w:r>
          </w:p>
        </w:tc>
        <w:tc>
          <w:tcPr>
            <w:tcW w:w="851" w:type="dxa"/>
            <w:vMerge w:val="restart"/>
            <w:tcBorders>
              <w:top w:val="single" w:color="000000" w:sz="4" w:space="0"/>
              <w:left w:val="single" w:color="000000" w:sz="4" w:space="0"/>
              <w:bottom w:val="nil"/>
              <w:right w:val="single" w:color="000000" w:sz="4" w:space="0"/>
            </w:tcBorders>
            <w:shd w:val="clear" w:color="auto" w:fill="auto"/>
            <w:vAlign w:val="center"/>
          </w:tcPr>
          <w:p>
            <w:pPr>
              <w:widowControl/>
              <w:spacing w:line="240" w:lineRule="auto"/>
              <w:ind w:firstLine="0" w:firstLineChars="0"/>
              <w:jc w:val="center"/>
              <w:textAlignment w:val="center"/>
              <w:rPr>
                <w:rFonts w:ascii="仿宋_GB2312" w:hAnsi="宋体" w:cs="仿宋"/>
                <w:color w:val="000000"/>
                <w:sz w:val="21"/>
                <w:szCs w:val="21"/>
              </w:rPr>
            </w:pPr>
            <w:r>
              <w:rPr>
                <w:rFonts w:ascii="仿宋_GB2312" w:hAnsi="宋体" w:cs="仿宋"/>
                <w:color w:val="000000"/>
                <w:kern w:val="0"/>
                <w:sz w:val="21"/>
                <w:szCs w:val="21"/>
                <w:lang w:bidi="ar"/>
              </w:rPr>
              <w:t>8</w:t>
            </w:r>
          </w:p>
        </w:tc>
        <w:tc>
          <w:tcPr>
            <w:tcW w:w="2977" w:type="dxa"/>
            <w:tcBorders>
              <w:top w:val="single" w:color="000000" w:sz="4" w:space="0"/>
              <w:left w:val="single" w:color="000000" w:sz="4" w:space="0"/>
              <w:bottom w:val="nil"/>
              <w:right w:val="single" w:color="000000" w:sz="4" w:space="0"/>
            </w:tcBorders>
            <w:shd w:val="clear" w:color="auto" w:fill="auto"/>
            <w:vAlign w:val="center"/>
          </w:tcPr>
          <w:p>
            <w:pPr>
              <w:widowControl/>
              <w:spacing w:line="240" w:lineRule="auto"/>
              <w:ind w:firstLine="0" w:firstLineChars="0"/>
              <w:jc w:val="center"/>
              <w:textAlignment w:val="center"/>
              <w:rPr>
                <w:rFonts w:ascii="仿宋_GB2312" w:hAnsi="宋体" w:cs="仿宋"/>
                <w:color w:val="000000"/>
                <w:sz w:val="21"/>
                <w:szCs w:val="21"/>
              </w:rPr>
            </w:pPr>
            <w:r>
              <w:rPr>
                <w:rFonts w:hint="eastAsia" w:ascii="仿宋_GB2312" w:hAnsi="宋体" w:cs="仿宋"/>
                <w:color w:val="000000"/>
                <w:kern w:val="0"/>
                <w:sz w:val="21"/>
                <w:szCs w:val="21"/>
                <w:lang w:bidi="ar"/>
              </w:rPr>
              <w:t>绩效目标合理性</w:t>
            </w:r>
          </w:p>
        </w:tc>
        <w:tc>
          <w:tcPr>
            <w:tcW w:w="850" w:type="dxa"/>
            <w:tcBorders>
              <w:top w:val="single" w:color="000000" w:sz="4" w:space="0"/>
              <w:left w:val="single" w:color="000000" w:sz="4" w:space="0"/>
              <w:bottom w:val="nil"/>
              <w:right w:val="single" w:color="000000" w:sz="4" w:space="0"/>
            </w:tcBorders>
            <w:shd w:val="clear" w:color="auto" w:fill="auto"/>
            <w:vAlign w:val="center"/>
          </w:tcPr>
          <w:p>
            <w:pPr>
              <w:widowControl/>
              <w:spacing w:line="240" w:lineRule="auto"/>
              <w:ind w:firstLine="0" w:firstLineChars="0"/>
              <w:jc w:val="center"/>
              <w:textAlignment w:val="center"/>
              <w:rPr>
                <w:rFonts w:ascii="仿宋_GB2312" w:hAnsi="宋体" w:cs="仿宋"/>
                <w:color w:val="000000"/>
                <w:sz w:val="21"/>
                <w:szCs w:val="21"/>
              </w:rPr>
            </w:pPr>
            <w:r>
              <w:rPr>
                <w:rFonts w:ascii="仿宋_GB2312" w:hAnsi="宋体" w:cs="仿宋"/>
                <w:color w:val="000000"/>
                <w:kern w:val="0"/>
                <w:sz w:val="21"/>
                <w:szCs w:val="21"/>
                <w:lang w:bidi="ar"/>
              </w:rPr>
              <w:t>4</w:t>
            </w:r>
          </w:p>
        </w:tc>
        <w:tc>
          <w:tcPr>
            <w:tcW w:w="851" w:type="dxa"/>
            <w:tcBorders>
              <w:top w:val="single" w:color="000000" w:sz="4" w:space="0"/>
              <w:left w:val="single" w:color="000000" w:sz="4" w:space="0"/>
              <w:bottom w:val="nil"/>
              <w:right w:val="single" w:color="000000" w:sz="4" w:space="0"/>
            </w:tcBorders>
            <w:shd w:val="clear" w:color="auto" w:fill="auto"/>
            <w:vAlign w:val="center"/>
          </w:tcPr>
          <w:p>
            <w:pPr>
              <w:widowControl/>
              <w:spacing w:line="240" w:lineRule="auto"/>
              <w:ind w:firstLine="0" w:firstLineChars="0"/>
              <w:jc w:val="center"/>
              <w:textAlignment w:val="center"/>
              <w:rPr>
                <w:rFonts w:ascii="仿宋_GB2312" w:hAnsi="宋体" w:cs="仿宋"/>
                <w:color w:val="000000"/>
                <w:kern w:val="0"/>
                <w:sz w:val="21"/>
                <w:szCs w:val="21"/>
                <w:lang w:bidi="ar"/>
              </w:rPr>
            </w:pPr>
            <w:r>
              <w:rPr>
                <w:rFonts w:ascii="仿宋_GB2312" w:hAnsi="宋体" w:cs="仿宋"/>
                <w:color w:val="000000"/>
                <w:kern w:val="0"/>
                <w:sz w:val="21"/>
                <w:szCs w:val="21"/>
                <w:lang w:bidi="ar"/>
              </w:rPr>
              <w:t>4</w:t>
            </w:r>
          </w:p>
        </w:tc>
      </w:tr>
      <w:tr>
        <w:tblPrEx>
          <w:tblCellMar>
            <w:top w:w="0" w:type="dxa"/>
            <w:left w:w="108" w:type="dxa"/>
            <w:bottom w:w="0" w:type="dxa"/>
            <w:right w:w="108" w:type="dxa"/>
          </w:tblCellMar>
        </w:tblPrEx>
        <w:trPr>
          <w:trHeight w:val="23" w:hRule="atLeast"/>
        </w:trPr>
        <w:tc>
          <w:tcPr>
            <w:tcW w:w="8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auto"/>
              <w:ind w:firstLine="420"/>
              <w:jc w:val="center"/>
              <w:rPr>
                <w:rFonts w:ascii="仿宋_GB2312" w:hAnsi="宋体" w:cs="仿宋"/>
                <w:color w:val="000000"/>
                <w:sz w:val="21"/>
                <w:szCs w:val="21"/>
              </w:rPr>
            </w:pPr>
          </w:p>
        </w:tc>
        <w:tc>
          <w:tcPr>
            <w:tcW w:w="8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auto"/>
              <w:ind w:firstLine="420"/>
              <w:jc w:val="center"/>
              <w:rPr>
                <w:rFonts w:ascii="仿宋_GB2312" w:hAnsi="宋体" w:cs="仿宋"/>
                <w:color w:val="000000"/>
                <w:sz w:val="21"/>
                <w:szCs w:val="21"/>
              </w:rPr>
            </w:pPr>
          </w:p>
        </w:tc>
        <w:tc>
          <w:tcPr>
            <w:tcW w:w="1134" w:type="dxa"/>
            <w:vMerge w:val="continue"/>
            <w:tcBorders>
              <w:top w:val="single" w:color="000000" w:sz="4" w:space="0"/>
              <w:left w:val="single" w:color="000000" w:sz="4" w:space="0"/>
              <w:bottom w:val="nil"/>
              <w:right w:val="single" w:color="000000" w:sz="4" w:space="0"/>
            </w:tcBorders>
            <w:shd w:val="clear" w:color="auto" w:fill="auto"/>
            <w:vAlign w:val="center"/>
          </w:tcPr>
          <w:p>
            <w:pPr>
              <w:spacing w:line="240" w:lineRule="auto"/>
              <w:ind w:firstLine="420"/>
              <w:jc w:val="center"/>
              <w:rPr>
                <w:rFonts w:ascii="仿宋_GB2312" w:hAnsi="宋体" w:cs="仿宋"/>
                <w:color w:val="000000"/>
                <w:sz w:val="21"/>
                <w:szCs w:val="21"/>
              </w:rPr>
            </w:pPr>
          </w:p>
        </w:tc>
        <w:tc>
          <w:tcPr>
            <w:tcW w:w="851" w:type="dxa"/>
            <w:vMerge w:val="continue"/>
            <w:tcBorders>
              <w:top w:val="single" w:color="000000" w:sz="4" w:space="0"/>
              <w:left w:val="single" w:color="000000" w:sz="4" w:space="0"/>
              <w:bottom w:val="nil"/>
              <w:right w:val="single" w:color="000000" w:sz="4" w:space="0"/>
            </w:tcBorders>
            <w:shd w:val="clear" w:color="auto" w:fill="auto"/>
            <w:vAlign w:val="center"/>
          </w:tcPr>
          <w:p>
            <w:pPr>
              <w:spacing w:line="240" w:lineRule="auto"/>
              <w:ind w:firstLine="420"/>
              <w:jc w:val="center"/>
              <w:rPr>
                <w:rFonts w:ascii="仿宋_GB2312" w:hAnsi="宋体" w:cs="仿宋"/>
                <w:color w:val="000000"/>
                <w:sz w:val="21"/>
                <w:szCs w:val="21"/>
              </w:rPr>
            </w:pPr>
          </w:p>
        </w:tc>
        <w:tc>
          <w:tcPr>
            <w:tcW w:w="2977" w:type="dxa"/>
            <w:tcBorders>
              <w:top w:val="single" w:color="000000" w:sz="4" w:space="0"/>
              <w:left w:val="single" w:color="000000" w:sz="4" w:space="0"/>
              <w:bottom w:val="nil"/>
              <w:right w:val="single" w:color="000000" w:sz="4" w:space="0"/>
            </w:tcBorders>
            <w:shd w:val="clear" w:color="auto" w:fill="auto"/>
            <w:vAlign w:val="center"/>
          </w:tcPr>
          <w:p>
            <w:pPr>
              <w:widowControl/>
              <w:spacing w:line="240" w:lineRule="auto"/>
              <w:ind w:firstLine="0" w:firstLineChars="0"/>
              <w:jc w:val="center"/>
              <w:textAlignment w:val="center"/>
              <w:rPr>
                <w:rFonts w:ascii="仿宋_GB2312" w:hAnsi="宋体" w:cs="仿宋"/>
                <w:color w:val="000000"/>
                <w:sz w:val="21"/>
                <w:szCs w:val="21"/>
              </w:rPr>
            </w:pPr>
            <w:r>
              <w:rPr>
                <w:rFonts w:hint="eastAsia" w:ascii="仿宋_GB2312" w:hAnsi="宋体" w:cs="仿宋"/>
                <w:color w:val="000000"/>
                <w:kern w:val="0"/>
                <w:sz w:val="21"/>
                <w:szCs w:val="21"/>
                <w:lang w:bidi="ar"/>
              </w:rPr>
              <w:t>绩效指标明确性</w:t>
            </w:r>
          </w:p>
        </w:tc>
        <w:tc>
          <w:tcPr>
            <w:tcW w:w="850" w:type="dxa"/>
            <w:tcBorders>
              <w:top w:val="single" w:color="000000" w:sz="4" w:space="0"/>
              <w:left w:val="single" w:color="000000" w:sz="4" w:space="0"/>
              <w:bottom w:val="nil"/>
              <w:right w:val="single" w:color="000000" w:sz="4" w:space="0"/>
            </w:tcBorders>
            <w:shd w:val="clear" w:color="auto" w:fill="auto"/>
            <w:vAlign w:val="center"/>
          </w:tcPr>
          <w:p>
            <w:pPr>
              <w:widowControl/>
              <w:spacing w:line="240" w:lineRule="auto"/>
              <w:ind w:firstLine="0" w:firstLineChars="0"/>
              <w:jc w:val="center"/>
              <w:textAlignment w:val="center"/>
              <w:rPr>
                <w:rFonts w:ascii="仿宋_GB2312" w:hAnsi="宋体" w:cs="仿宋"/>
                <w:color w:val="000000"/>
                <w:sz w:val="21"/>
                <w:szCs w:val="21"/>
              </w:rPr>
            </w:pPr>
            <w:r>
              <w:rPr>
                <w:rFonts w:ascii="仿宋_GB2312" w:hAnsi="宋体" w:cs="仿宋"/>
                <w:color w:val="000000"/>
                <w:kern w:val="0"/>
                <w:sz w:val="21"/>
                <w:szCs w:val="21"/>
                <w:lang w:bidi="ar"/>
              </w:rPr>
              <w:t>4</w:t>
            </w:r>
          </w:p>
        </w:tc>
        <w:tc>
          <w:tcPr>
            <w:tcW w:w="851" w:type="dxa"/>
            <w:tcBorders>
              <w:top w:val="single" w:color="000000" w:sz="4" w:space="0"/>
              <w:left w:val="single" w:color="000000" w:sz="4" w:space="0"/>
              <w:bottom w:val="nil"/>
              <w:right w:val="single" w:color="000000" w:sz="4" w:space="0"/>
            </w:tcBorders>
            <w:shd w:val="clear" w:color="auto" w:fill="auto"/>
            <w:vAlign w:val="center"/>
          </w:tcPr>
          <w:p>
            <w:pPr>
              <w:widowControl/>
              <w:spacing w:line="240" w:lineRule="auto"/>
              <w:ind w:firstLine="0" w:firstLineChars="0"/>
              <w:jc w:val="center"/>
              <w:textAlignment w:val="center"/>
              <w:rPr>
                <w:rFonts w:ascii="仿宋_GB2312" w:hAnsi="宋体" w:cs="仿宋"/>
                <w:color w:val="000000"/>
                <w:kern w:val="0"/>
                <w:sz w:val="21"/>
                <w:szCs w:val="21"/>
                <w:lang w:bidi="ar"/>
              </w:rPr>
            </w:pPr>
            <w:r>
              <w:rPr>
                <w:rFonts w:ascii="仿宋_GB2312" w:hAnsi="宋体" w:cs="仿宋"/>
                <w:color w:val="000000"/>
                <w:kern w:val="0"/>
                <w:sz w:val="21"/>
                <w:szCs w:val="21"/>
                <w:lang w:bidi="ar"/>
              </w:rPr>
              <w:t>4</w:t>
            </w:r>
          </w:p>
        </w:tc>
      </w:tr>
      <w:tr>
        <w:tblPrEx>
          <w:tblCellMar>
            <w:top w:w="0" w:type="dxa"/>
            <w:left w:w="108" w:type="dxa"/>
            <w:bottom w:w="0" w:type="dxa"/>
            <w:right w:w="108" w:type="dxa"/>
          </w:tblCellMar>
        </w:tblPrEx>
        <w:trPr>
          <w:trHeight w:val="23" w:hRule="atLeast"/>
        </w:trPr>
        <w:tc>
          <w:tcPr>
            <w:tcW w:w="8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auto"/>
              <w:ind w:firstLine="420"/>
              <w:jc w:val="center"/>
              <w:rPr>
                <w:rFonts w:ascii="仿宋_GB2312" w:hAnsi="宋体" w:cs="仿宋"/>
                <w:color w:val="000000"/>
                <w:sz w:val="21"/>
                <w:szCs w:val="21"/>
              </w:rPr>
            </w:pPr>
          </w:p>
        </w:tc>
        <w:tc>
          <w:tcPr>
            <w:tcW w:w="8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auto"/>
              <w:ind w:firstLine="420"/>
              <w:jc w:val="center"/>
              <w:rPr>
                <w:rFonts w:ascii="仿宋_GB2312" w:hAnsi="宋体" w:cs="仿宋"/>
                <w:color w:val="000000"/>
                <w:sz w:val="21"/>
                <w:szCs w:val="21"/>
              </w:rPr>
            </w:pPr>
          </w:p>
        </w:tc>
        <w:tc>
          <w:tcPr>
            <w:tcW w:w="1134" w:type="dxa"/>
            <w:vMerge w:val="restart"/>
            <w:tcBorders>
              <w:top w:val="single" w:color="000000" w:sz="4" w:space="0"/>
              <w:left w:val="single" w:color="000000" w:sz="4" w:space="0"/>
              <w:bottom w:val="nil"/>
              <w:right w:val="single" w:color="000000" w:sz="4" w:space="0"/>
            </w:tcBorders>
            <w:shd w:val="clear" w:color="auto" w:fill="auto"/>
            <w:vAlign w:val="center"/>
          </w:tcPr>
          <w:p>
            <w:pPr>
              <w:widowControl/>
              <w:spacing w:line="240" w:lineRule="auto"/>
              <w:ind w:firstLine="0" w:firstLineChars="0"/>
              <w:jc w:val="center"/>
              <w:textAlignment w:val="center"/>
              <w:rPr>
                <w:rFonts w:ascii="仿宋_GB2312" w:hAnsi="宋体" w:cs="仿宋"/>
                <w:color w:val="000000"/>
                <w:sz w:val="21"/>
                <w:szCs w:val="21"/>
              </w:rPr>
            </w:pPr>
            <w:r>
              <w:rPr>
                <w:rFonts w:hint="eastAsia" w:ascii="仿宋_GB2312" w:hAnsi="宋体" w:cs="仿宋"/>
                <w:color w:val="000000"/>
                <w:kern w:val="0"/>
                <w:sz w:val="21"/>
                <w:szCs w:val="21"/>
                <w:lang w:bidi="ar"/>
              </w:rPr>
              <w:t>资金投入</w:t>
            </w:r>
          </w:p>
        </w:tc>
        <w:tc>
          <w:tcPr>
            <w:tcW w:w="851" w:type="dxa"/>
            <w:vMerge w:val="restart"/>
            <w:tcBorders>
              <w:top w:val="single" w:color="000000" w:sz="4" w:space="0"/>
              <w:left w:val="single" w:color="000000" w:sz="4" w:space="0"/>
              <w:bottom w:val="nil"/>
              <w:right w:val="single" w:color="000000" w:sz="4" w:space="0"/>
            </w:tcBorders>
            <w:shd w:val="clear" w:color="auto" w:fill="auto"/>
            <w:vAlign w:val="center"/>
          </w:tcPr>
          <w:p>
            <w:pPr>
              <w:widowControl/>
              <w:spacing w:line="240" w:lineRule="auto"/>
              <w:ind w:firstLine="0" w:firstLineChars="0"/>
              <w:jc w:val="center"/>
              <w:textAlignment w:val="center"/>
              <w:rPr>
                <w:rFonts w:ascii="仿宋_GB2312" w:hAnsi="宋体" w:cs="仿宋"/>
                <w:color w:val="000000"/>
                <w:sz w:val="21"/>
                <w:szCs w:val="21"/>
              </w:rPr>
            </w:pPr>
            <w:r>
              <w:rPr>
                <w:rFonts w:ascii="仿宋_GB2312" w:hAnsi="宋体" w:cs="仿宋"/>
                <w:color w:val="000000"/>
                <w:kern w:val="0"/>
                <w:sz w:val="21"/>
                <w:szCs w:val="21"/>
                <w:lang w:bidi="ar"/>
              </w:rPr>
              <w:t>6</w:t>
            </w:r>
          </w:p>
        </w:tc>
        <w:tc>
          <w:tcPr>
            <w:tcW w:w="2977" w:type="dxa"/>
            <w:tcBorders>
              <w:top w:val="single" w:color="000000" w:sz="4" w:space="0"/>
              <w:left w:val="single" w:color="000000" w:sz="4" w:space="0"/>
              <w:bottom w:val="nil"/>
              <w:right w:val="single" w:color="000000" w:sz="4" w:space="0"/>
            </w:tcBorders>
            <w:shd w:val="clear" w:color="auto" w:fill="auto"/>
            <w:vAlign w:val="center"/>
          </w:tcPr>
          <w:p>
            <w:pPr>
              <w:widowControl/>
              <w:spacing w:line="240" w:lineRule="auto"/>
              <w:ind w:firstLine="0" w:firstLineChars="0"/>
              <w:jc w:val="center"/>
              <w:textAlignment w:val="center"/>
              <w:rPr>
                <w:rFonts w:ascii="仿宋_GB2312" w:hAnsi="宋体" w:cs="仿宋"/>
                <w:color w:val="000000"/>
                <w:sz w:val="21"/>
                <w:szCs w:val="21"/>
              </w:rPr>
            </w:pPr>
            <w:r>
              <w:rPr>
                <w:rFonts w:hint="eastAsia" w:ascii="仿宋_GB2312" w:hAnsi="宋体" w:cs="仿宋"/>
                <w:color w:val="000000"/>
                <w:kern w:val="0"/>
                <w:sz w:val="21"/>
                <w:szCs w:val="21"/>
                <w:lang w:bidi="ar"/>
              </w:rPr>
              <w:t>预算编制科学性</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auto"/>
              <w:ind w:firstLine="0" w:firstLineChars="0"/>
              <w:jc w:val="center"/>
              <w:textAlignment w:val="center"/>
              <w:rPr>
                <w:rFonts w:ascii="仿宋_GB2312" w:hAnsi="宋体" w:cs="仿宋"/>
                <w:color w:val="000000"/>
                <w:sz w:val="21"/>
                <w:szCs w:val="21"/>
              </w:rPr>
            </w:pPr>
            <w:r>
              <w:rPr>
                <w:rFonts w:ascii="仿宋_GB2312" w:hAnsi="宋体" w:cs="仿宋"/>
                <w:color w:val="000000"/>
                <w:kern w:val="0"/>
                <w:sz w:val="21"/>
                <w:szCs w:val="21"/>
                <w:lang w:bidi="ar"/>
              </w:rPr>
              <w:t>4</w:t>
            </w:r>
          </w:p>
        </w:tc>
        <w:tc>
          <w:tcPr>
            <w:tcW w:w="85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auto"/>
              <w:ind w:firstLine="0" w:firstLineChars="0"/>
              <w:jc w:val="center"/>
              <w:textAlignment w:val="center"/>
              <w:rPr>
                <w:rFonts w:ascii="仿宋_GB2312" w:hAnsi="宋体" w:cs="仿宋"/>
                <w:color w:val="000000"/>
                <w:kern w:val="0"/>
                <w:sz w:val="21"/>
                <w:szCs w:val="21"/>
                <w:lang w:bidi="ar"/>
              </w:rPr>
            </w:pPr>
            <w:r>
              <w:rPr>
                <w:rFonts w:ascii="仿宋_GB2312" w:hAnsi="宋体" w:cs="仿宋"/>
                <w:color w:val="000000"/>
                <w:kern w:val="0"/>
                <w:sz w:val="21"/>
                <w:szCs w:val="21"/>
                <w:lang w:bidi="ar"/>
              </w:rPr>
              <w:t>4</w:t>
            </w:r>
          </w:p>
        </w:tc>
      </w:tr>
      <w:tr>
        <w:tblPrEx>
          <w:tblCellMar>
            <w:top w:w="0" w:type="dxa"/>
            <w:left w:w="108" w:type="dxa"/>
            <w:bottom w:w="0" w:type="dxa"/>
            <w:right w:w="108" w:type="dxa"/>
          </w:tblCellMar>
        </w:tblPrEx>
        <w:trPr>
          <w:trHeight w:val="23" w:hRule="atLeast"/>
        </w:trPr>
        <w:tc>
          <w:tcPr>
            <w:tcW w:w="8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auto"/>
              <w:ind w:firstLine="420"/>
              <w:jc w:val="center"/>
              <w:rPr>
                <w:rFonts w:ascii="仿宋_GB2312" w:hAnsi="宋体" w:cs="仿宋"/>
                <w:color w:val="000000"/>
                <w:sz w:val="21"/>
                <w:szCs w:val="21"/>
              </w:rPr>
            </w:pPr>
          </w:p>
        </w:tc>
        <w:tc>
          <w:tcPr>
            <w:tcW w:w="8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auto"/>
              <w:ind w:firstLine="420"/>
              <w:jc w:val="center"/>
              <w:rPr>
                <w:rFonts w:ascii="仿宋_GB2312" w:hAnsi="宋体" w:cs="仿宋"/>
                <w:color w:val="000000"/>
                <w:sz w:val="21"/>
                <w:szCs w:val="21"/>
              </w:rPr>
            </w:pPr>
          </w:p>
        </w:tc>
        <w:tc>
          <w:tcPr>
            <w:tcW w:w="1134" w:type="dxa"/>
            <w:vMerge w:val="continue"/>
            <w:tcBorders>
              <w:top w:val="single" w:color="000000" w:sz="4" w:space="0"/>
              <w:left w:val="single" w:color="000000" w:sz="4" w:space="0"/>
              <w:bottom w:val="nil"/>
              <w:right w:val="single" w:color="000000" w:sz="4" w:space="0"/>
            </w:tcBorders>
            <w:shd w:val="clear" w:color="auto" w:fill="auto"/>
            <w:vAlign w:val="center"/>
          </w:tcPr>
          <w:p>
            <w:pPr>
              <w:spacing w:line="240" w:lineRule="auto"/>
              <w:ind w:firstLine="420"/>
              <w:jc w:val="center"/>
              <w:rPr>
                <w:rFonts w:ascii="仿宋_GB2312" w:hAnsi="宋体" w:cs="仿宋"/>
                <w:color w:val="000000"/>
                <w:sz w:val="21"/>
                <w:szCs w:val="21"/>
              </w:rPr>
            </w:pPr>
          </w:p>
        </w:tc>
        <w:tc>
          <w:tcPr>
            <w:tcW w:w="851" w:type="dxa"/>
            <w:vMerge w:val="continue"/>
            <w:tcBorders>
              <w:top w:val="single" w:color="000000" w:sz="4" w:space="0"/>
              <w:left w:val="single" w:color="000000" w:sz="4" w:space="0"/>
              <w:bottom w:val="nil"/>
              <w:right w:val="single" w:color="000000" w:sz="4" w:space="0"/>
            </w:tcBorders>
            <w:shd w:val="clear" w:color="auto" w:fill="auto"/>
            <w:vAlign w:val="center"/>
          </w:tcPr>
          <w:p>
            <w:pPr>
              <w:spacing w:line="240" w:lineRule="auto"/>
              <w:ind w:firstLine="420"/>
              <w:jc w:val="center"/>
              <w:rPr>
                <w:rFonts w:ascii="仿宋_GB2312" w:hAnsi="宋体" w:cs="仿宋"/>
                <w:color w:val="000000"/>
                <w:sz w:val="21"/>
                <w:szCs w:val="21"/>
              </w:rPr>
            </w:pPr>
          </w:p>
        </w:tc>
        <w:tc>
          <w:tcPr>
            <w:tcW w:w="2977" w:type="dxa"/>
            <w:tcBorders>
              <w:top w:val="single" w:color="000000" w:sz="4" w:space="0"/>
              <w:left w:val="single" w:color="000000" w:sz="4" w:space="0"/>
              <w:bottom w:val="nil"/>
              <w:right w:val="single" w:color="000000" w:sz="4" w:space="0"/>
            </w:tcBorders>
            <w:shd w:val="clear" w:color="auto" w:fill="auto"/>
            <w:vAlign w:val="center"/>
          </w:tcPr>
          <w:p>
            <w:pPr>
              <w:widowControl/>
              <w:spacing w:line="240" w:lineRule="auto"/>
              <w:ind w:firstLine="0" w:firstLineChars="0"/>
              <w:jc w:val="center"/>
              <w:textAlignment w:val="center"/>
              <w:rPr>
                <w:rFonts w:ascii="仿宋_GB2312" w:hAnsi="宋体" w:cs="仿宋"/>
                <w:color w:val="000000"/>
                <w:sz w:val="21"/>
                <w:szCs w:val="21"/>
              </w:rPr>
            </w:pPr>
            <w:r>
              <w:rPr>
                <w:rFonts w:hint="eastAsia" w:ascii="仿宋_GB2312" w:hAnsi="宋体" w:cs="仿宋"/>
                <w:color w:val="000000"/>
                <w:kern w:val="0"/>
                <w:sz w:val="21"/>
                <w:szCs w:val="21"/>
                <w:lang w:bidi="ar"/>
              </w:rPr>
              <w:t>资金分配合理性</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auto"/>
              <w:ind w:firstLine="0" w:firstLineChars="0"/>
              <w:jc w:val="center"/>
              <w:textAlignment w:val="center"/>
              <w:rPr>
                <w:rFonts w:ascii="仿宋_GB2312" w:hAnsi="宋体" w:cs="仿宋"/>
                <w:color w:val="000000"/>
                <w:sz w:val="21"/>
                <w:szCs w:val="21"/>
              </w:rPr>
            </w:pPr>
            <w:r>
              <w:rPr>
                <w:rFonts w:ascii="仿宋_GB2312" w:hAnsi="宋体" w:cs="仿宋"/>
                <w:color w:val="000000"/>
                <w:kern w:val="0"/>
                <w:sz w:val="21"/>
                <w:szCs w:val="21"/>
                <w:lang w:bidi="ar"/>
              </w:rPr>
              <w:t>2</w:t>
            </w:r>
          </w:p>
        </w:tc>
        <w:tc>
          <w:tcPr>
            <w:tcW w:w="85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auto"/>
              <w:ind w:firstLine="0" w:firstLineChars="0"/>
              <w:jc w:val="center"/>
              <w:textAlignment w:val="center"/>
              <w:rPr>
                <w:rFonts w:ascii="仿宋_GB2312" w:hAnsi="宋体" w:cs="仿宋"/>
                <w:color w:val="000000"/>
                <w:kern w:val="0"/>
                <w:sz w:val="21"/>
                <w:szCs w:val="21"/>
                <w:lang w:bidi="ar"/>
              </w:rPr>
            </w:pPr>
            <w:r>
              <w:rPr>
                <w:rFonts w:ascii="仿宋_GB2312" w:hAnsi="宋体" w:cs="仿宋"/>
                <w:color w:val="000000"/>
                <w:kern w:val="0"/>
                <w:sz w:val="21"/>
                <w:szCs w:val="21"/>
                <w:lang w:bidi="ar"/>
              </w:rPr>
              <w:t>2</w:t>
            </w:r>
          </w:p>
        </w:tc>
      </w:tr>
      <w:tr>
        <w:tblPrEx>
          <w:tblCellMar>
            <w:top w:w="0" w:type="dxa"/>
            <w:left w:w="108" w:type="dxa"/>
            <w:bottom w:w="0" w:type="dxa"/>
            <w:right w:w="108" w:type="dxa"/>
          </w:tblCellMar>
        </w:tblPrEx>
        <w:trPr>
          <w:trHeight w:val="23" w:hRule="atLeast"/>
        </w:trPr>
        <w:tc>
          <w:tcPr>
            <w:tcW w:w="84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auto"/>
              <w:ind w:firstLine="0" w:firstLineChars="0"/>
              <w:jc w:val="center"/>
              <w:textAlignment w:val="center"/>
              <w:rPr>
                <w:rFonts w:ascii="仿宋_GB2312" w:hAnsi="宋体" w:cs="仿宋"/>
                <w:color w:val="000000"/>
                <w:kern w:val="0"/>
                <w:sz w:val="21"/>
                <w:szCs w:val="21"/>
                <w:lang w:bidi="ar"/>
              </w:rPr>
            </w:pPr>
            <w:r>
              <w:rPr>
                <w:rFonts w:hint="eastAsia" w:ascii="仿宋_GB2312" w:hAnsi="宋体" w:cs="仿宋"/>
                <w:color w:val="000000"/>
                <w:kern w:val="0"/>
                <w:sz w:val="21"/>
                <w:szCs w:val="21"/>
                <w:lang w:bidi="ar"/>
              </w:rPr>
              <w:t>项目</w:t>
            </w:r>
          </w:p>
          <w:p>
            <w:pPr>
              <w:widowControl/>
              <w:spacing w:line="240" w:lineRule="auto"/>
              <w:ind w:firstLine="0" w:firstLineChars="0"/>
              <w:jc w:val="center"/>
              <w:textAlignment w:val="center"/>
              <w:rPr>
                <w:rFonts w:ascii="仿宋_GB2312" w:hAnsi="宋体" w:cs="仿宋"/>
                <w:color w:val="000000"/>
                <w:sz w:val="21"/>
                <w:szCs w:val="21"/>
              </w:rPr>
            </w:pPr>
            <w:r>
              <w:rPr>
                <w:rFonts w:hint="eastAsia" w:ascii="仿宋_GB2312" w:hAnsi="宋体" w:cs="仿宋"/>
                <w:color w:val="000000"/>
                <w:kern w:val="0"/>
                <w:sz w:val="21"/>
                <w:szCs w:val="21"/>
                <w:lang w:bidi="ar"/>
              </w:rPr>
              <w:t>过程</w:t>
            </w:r>
          </w:p>
        </w:tc>
        <w:tc>
          <w:tcPr>
            <w:tcW w:w="8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auto"/>
              <w:ind w:firstLine="0" w:firstLineChars="0"/>
              <w:jc w:val="center"/>
              <w:textAlignment w:val="center"/>
              <w:rPr>
                <w:rFonts w:ascii="仿宋_GB2312" w:hAnsi="宋体" w:cs="仿宋"/>
                <w:color w:val="000000"/>
                <w:sz w:val="21"/>
                <w:szCs w:val="21"/>
              </w:rPr>
            </w:pPr>
            <w:r>
              <w:rPr>
                <w:rFonts w:ascii="仿宋_GB2312" w:hAnsi="宋体" w:cs="仿宋"/>
                <w:color w:val="000000"/>
                <w:sz w:val="21"/>
                <w:szCs w:val="21"/>
              </w:rPr>
              <w:t>20</w:t>
            </w:r>
          </w:p>
        </w:tc>
        <w:tc>
          <w:tcPr>
            <w:tcW w:w="113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auto"/>
              <w:ind w:firstLine="0" w:firstLineChars="0"/>
              <w:jc w:val="center"/>
              <w:textAlignment w:val="center"/>
              <w:rPr>
                <w:rFonts w:ascii="仿宋_GB2312" w:hAnsi="宋体" w:cs="仿宋"/>
                <w:color w:val="000000"/>
                <w:sz w:val="21"/>
                <w:szCs w:val="21"/>
              </w:rPr>
            </w:pPr>
            <w:r>
              <w:rPr>
                <w:rFonts w:hint="eastAsia" w:ascii="仿宋_GB2312" w:hAnsi="宋体" w:cs="仿宋"/>
                <w:color w:val="000000"/>
                <w:kern w:val="0"/>
                <w:sz w:val="21"/>
                <w:szCs w:val="21"/>
                <w:lang w:bidi="ar"/>
              </w:rPr>
              <w:t>资金管理</w:t>
            </w:r>
          </w:p>
        </w:tc>
        <w:tc>
          <w:tcPr>
            <w:tcW w:w="85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auto"/>
              <w:ind w:firstLine="0" w:firstLineChars="0"/>
              <w:jc w:val="center"/>
              <w:textAlignment w:val="center"/>
              <w:rPr>
                <w:rFonts w:ascii="仿宋_GB2312" w:hAnsi="宋体" w:cs="仿宋"/>
                <w:color w:val="000000"/>
                <w:sz w:val="21"/>
                <w:szCs w:val="21"/>
              </w:rPr>
            </w:pPr>
            <w:r>
              <w:rPr>
                <w:rFonts w:ascii="仿宋_GB2312" w:hAnsi="宋体" w:cs="仿宋"/>
                <w:color w:val="000000"/>
                <w:kern w:val="0"/>
                <w:sz w:val="21"/>
                <w:szCs w:val="21"/>
                <w:lang w:bidi="ar"/>
              </w:rPr>
              <w:t>12</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auto"/>
              <w:ind w:firstLine="0" w:firstLineChars="0"/>
              <w:jc w:val="center"/>
              <w:textAlignment w:val="center"/>
              <w:rPr>
                <w:rFonts w:ascii="仿宋_GB2312" w:hAnsi="宋体" w:cs="仿宋"/>
                <w:color w:val="000000"/>
                <w:sz w:val="21"/>
                <w:szCs w:val="21"/>
              </w:rPr>
            </w:pPr>
            <w:r>
              <w:rPr>
                <w:rFonts w:hint="eastAsia" w:ascii="仿宋_GB2312" w:hAnsi="宋体" w:cs="仿宋"/>
                <w:color w:val="000000"/>
                <w:kern w:val="0"/>
                <w:sz w:val="21"/>
                <w:szCs w:val="21"/>
                <w:lang w:bidi="ar"/>
              </w:rPr>
              <w:t>资金到位率</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auto"/>
              <w:ind w:firstLine="0" w:firstLineChars="0"/>
              <w:jc w:val="center"/>
              <w:textAlignment w:val="center"/>
              <w:rPr>
                <w:rFonts w:ascii="仿宋_GB2312" w:hAnsi="宋体" w:cs="仿宋"/>
                <w:color w:val="000000"/>
                <w:sz w:val="21"/>
                <w:szCs w:val="21"/>
              </w:rPr>
            </w:pPr>
            <w:r>
              <w:rPr>
                <w:rFonts w:ascii="仿宋_GB2312" w:hAnsi="宋体" w:cs="仿宋"/>
                <w:color w:val="000000"/>
                <w:kern w:val="0"/>
                <w:sz w:val="21"/>
                <w:szCs w:val="21"/>
                <w:lang w:bidi="ar"/>
              </w:rPr>
              <w:t>4</w:t>
            </w:r>
          </w:p>
        </w:tc>
        <w:tc>
          <w:tcPr>
            <w:tcW w:w="85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auto"/>
              <w:ind w:firstLine="0" w:firstLineChars="0"/>
              <w:jc w:val="center"/>
              <w:textAlignment w:val="center"/>
              <w:rPr>
                <w:rFonts w:ascii="仿宋_GB2312" w:hAnsi="宋体" w:cs="仿宋"/>
                <w:color w:val="000000"/>
                <w:kern w:val="0"/>
                <w:sz w:val="21"/>
                <w:szCs w:val="21"/>
                <w:lang w:bidi="ar"/>
              </w:rPr>
            </w:pPr>
            <w:r>
              <w:rPr>
                <w:rFonts w:ascii="仿宋_GB2312" w:hAnsi="宋体" w:cs="仿宋"/>
                <w:color w:val="000000"/>
                <w:kern w:val="0"/>
                <w:sz w:val="21"/>
                <w:szCs w:val="21"/>
                <w:lang w:bidi="ar"/>
              </w:rPr>
              <w:t>4</w:t>
            </w:r>
          </w:p>
        </w:tc>
      </w:tr>
      <w:tr>
        <w:tblPrEx>
          <w:tblCellMar>
            <w:top w:w="0" w:type="dxa"/>
            <w:left w:w="108" w:type="dxa"/>
            <w:bottom w:w="0" w:type="dxa"/>
            <w:right w:w="108" w:type="dxa"/>
          </w:tblCellMar>
        </w:tblPrEx>
        <w:trPr>
          <w:trHeight w:val="23" w:hRule="atLeast"/>
        </w:trPr>
        <w:tc>
          <w:tcPr>
            <w:tcW w:w="8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auto"/>
              <w:ind w:firstLine="420"/>
              <w:jc w:val="center"/>
              <w:rPr>
                <w:rFonts w:ascii="仿宋_GB2312" w:hAnsi="宋体" w:cs="仿宋"/>
                <w:color w:val="000000"/>
                <w:sz w:val="21"/>
                <w:szCs w:val="21"/>
              </w:rPr>
            </w:pPr>
          </w:p>
        </w:tc>
        <w:tc>
          <w:tcPr>
            <w:tcW w:w="8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auto"/>
              <w:ind w:firstLine="420"/>
              <w:jc w:val="center"/>
              <w:rPr>
                <w:rFonts w:ascii="仿宋_GB2312" w:hAnsi="宋体" w:cs="仿宋"/>
                <w:color w:val="000000"/>
                <w:sz w:val="21"/>
                <w:szCs w:val="21"/>
              </w:rPr>
            </w:pPr>
          </w:p>
        </w:tc>
        <w:tc>
          <w:tcPr>
            <w:tcW w:w="11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auto"/>
              <w:ind w:firstLine="420"/>
              <w:jc w:val="center"/>
              <w:rPr>
                <w:rFonts w:ascii="仿宋_GB2312" w:hAnsi="宋体" w:cs="仿宋"/>
                <w:color w:val="000000"/>
                <w:sz w:val="21"/>
                <w:szCs w:val="21"/>
              </w:rPr>
            </w:pPr>
          </w:p>
        </w:tc>
        <w:tc>
          <w:tcPr>
            <w:tcW w:w="85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auto"/>
              <w:ind w:firstLine="420"/>
              <w:jc w:val="center"/>
              <w:rPr>
                <w:rFonts w:ascii="仿宋_GB2312" w:hAnsi="宋体" w:cs="仿宋"/>
                <w:color w:val="000000"/>
                <w:sz w:val="21"/>
                <w:szCs w:val="21"/>
              </w:rPr>
            </w:pP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auto"/>
              <w:ind w:firstLine="0" w:firstLineChars="0"/>
              <w:jc w:val="center"/>
              <w:textAlignment w:val="center"/>
              <w:rPr>
                <w:rFonts w:ascii="仿宋_GB2312" w:hAnsi="宋体" w:cs="仿宋"/>
                <w:color w:val="000000"/>
                <w:sz w:val="21"/>
                <w:szCs w:val="21"/>
              </w:rPr>
            </w:pPr>
            <w:r>
              <w:rPr>
                <w:rFonts w:hint="eastAsia" w:ascii="仿宋_GB2312" w:hAnsi="宋体" w:cs="仿宋"/>
                <w:color w:val="000000"/>
                <w:kern w:val="0"/>
                <w:sz w:val="21"/>
                <w:szCs w:val="21"/>
                <w:lang w:bidi="ar"/>
              </w:rPr>
              <w:t>预算执行率</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auto"/>
              <w:ind w:firstLine="0" w:firstLineChars="0"/>
              <w:jc w:val="center"/>
              <w:textAlignment w:val="center"/>
              <w:rPr>
                <w:rFonts w:ascii="仿宋_GB2312" w:hAnsi="宋体" w:cs="仿宋"/>
                <w:color w:val="000000"/>
                <w:sz w:val="21"/>
                <w:szCs w:val="21"/>
              </w:rPr>
            </w:pPr>
            <w:r>
              <w:rPr>
                <w:rFonts w:ascii="仿宋_GB2312" w:hAnsi="宋体" w:cs="仿宋"/>
                <w:color w:val="000000"/>
                <w:kern w:val="0"/>
                <w:sz w:val="21"/>
                <w:szCs w:val="21"/>
                <w:lang w:bidi="ar"/>
              </w:rPr>
              <w:t>4</w:t>
            </w:r>
          </w:p>
        </w:tc>
        <w:tc>
          <w:tcPr>
            <w:tcW w:w="85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auto"/>
              <w:ind w:firstLine="0" w:firstLineChars="0"/>
              <w:jc w:val="center"/>
              <w:textAlignment w:val="center"/>
              <w:rPr>
                <w:rFonts w:ascii="仿宋_GB2312" w:hAnsi="宋体" w:cs="仿宋"/>
                <w:color w:val="000000"/>
                <w:kern w:val="0"/>
                <w:sz w:val="21"/>
                <w:szCs w:val="21"/>
                <w:lang w:bidi="ar"/>
              </w:rPr>
            </w:pPr>
            <w:r>
              <w:rPr>
                <w:rFonts w:ascii="仿宋_GB2312" w:hAnsi="宋体" w:cs="仿宋"/>
                <w:color w:val="000000"/>
                <w:kern w:val="0"/>
                <w:sz w:val="21"/>
                <w:szCs w:val="21"/>
                <w:lang w:bidi="ar"/>
              </w:rPr>
              <w:t>3.98</w:t>
            </w:r>
          </w:p>
        </w:tc>
      </w:tr>
      <w:tr>
        <w:tblPrEx>
          <w:tblCellMar>
            <w:top w:w="0" w:type="dxa"/>
            <w:left w:w="108" w:type="dxa"/>
            <w:bottom w:w="0" w:type="dxa"/>
            <w:right w:w="108" w:type="dxa"/>
          </w:tblCellMar>
        </w:tblPrEx>
        <w:trPr>
          <w:trHeight w:val="23" w:hRule="atLeast"/>
        </w:trPr>
        <w:tc>
          <w:tcPr>
            <w:tcW w:w="8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auto"/>
              <w:ind w:firstLine="420"/>
              <w:jc w:val="center"/>
              <w:rPr>
                <w:rFonts w:ascii="仿宋_GB2312" w:hAnsi="宋体" w:cs="仿宋"/>
                <w:color w:val="000000"/>
                <w:sz w:val="21"/>
                <w:szCs w:val="21"/>
              </w:rPr>
            </w:pPr>
          </w:p>
        </w:tc>
        <w:tc>
          <w:tcPr>
            <w:tcW w:w="8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auto"/>
              <w:ind w:firstLine="420"/>
              <w:jc w:val="center"/>
              <w:rPr>
                <w:rFonts w:ascii="仿宋_GB2312" w:hAnsi="宋体" w:cs="仿宋"/>
                <w:color w:val="000000"/>
                <w:sz w:val="21"/>
                <w:szCs w:val="21"/>
              </w:rPr>
            </w:pPr>
          </w:p>
        </w:tc>
        <w:tc>
          <w:tcPr>
            <w:tcW w:w="11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auto"/>
              <w:ind w:firstLine="420"/>
              <w:jc w:val="center"/>
              <w:rPr>
                <w:rFonts w:ascii="仿宋_GB2312" w:hAnsi="宋体" w:cs="仿宋"/>
                <w:color w:val="000000"/>
                <w:sz w:val="21"/>
                <w:szCs w:val="21"/>
              </w:rPr>
            </w:pPr>
          </w:p>
        </w:tc>
        <w:tc>
          <w:tcPr>
            <w:tcW w:w="85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auto"/>
              <w:ind w:firstLine="420"/>
              <w:jc w:val="center"/>
              <w:rPr>
                <w:rFonts w:ascii="仿宋_GB2312" w:hAnsi="宋体" w:cs="仿宋"/>
                <w:color w:val="000000"/>
                <w:sz w:val="21"/>
                <w:szCs w:val="21"/>
              </w:rPr>
            </w:pP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auto"/>
              <w:ind w:firstLine="0" w:firstLineChars="0"/>
              <w:jc w:val="center"/>
              <w:textAlignment w:val="center"/>
              <w:rPr>
                <w:rFonts w:ascii="仿宋_GB2312" w:hAnsi="宋体" w:cs="仿宋"/>
                <w:color w:val="000000"/>
                <w:sz w:val="21"/>
                <w:szCs w:val="21"/>
              </w:rPr>
            </w:pPr>
            <w:r>
              <w:rPr>
                <w:rFonts w:hint="eastAsia" w:ascii="仿宋_GB2312" w:hAnsi="宋体" w:cs="仿宋"/>
                <w:color w:val="000000"/>
                <w:kern w:val="0"/>
                <w:sz w:val="21"/>
                <w:szCs w:val="21"/>
                <w:lang w:bidi="ar"/>
              </w:rPr>
              <w:t>资金使用合规性</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auto"/>
              <w:ind w:firstLine="0" w:firstLineChars="0"/>
              <w:jc w:val="center"/>
              <w:textAlignment w:val="center"/>
              <w:rPr>
                <w:rFonts w:ascii="仿宋_GB2312" w:hAnsi="宋体" w:cs="仿宋"/>
                <w:color w:val="000000"/>
                <w:sz w:val="21"/>
                <w:szCs w:val="21"/>
              </w:rPr>
            </w:pPr>
            <w:r>
              <w:rPr>
                <w:rFonts w:ascii="仿宋_GB2312" w:hAnsi="宋体" w:cs="仿宋"/>
                <w:color w:val="000000"/>
                <w:kern w:val="0"/>
                <w:sz w:val="21"/>
                <w:szCs w:val="21"/>
                <w:lang w:bidi="ar"/>
              </w:rPr>
              <w:t>4</w:t>
            </w:r>
          </w:p>
        </w:tc>
        <w:tc>
          <w:tcPr>
            <w:tcW w:w="85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auto"/>
              <w:ind w:firstLine="0" w:firstLineChars="0"/>
              <w:jc w:val="center"/>
              <w:textAlignment w:val="center"/>
              <w:rPr>
                <w:rFonts w:ascii="仿宋_GB2312" w:hAnsi="宋体" w:cs="仿宋"/>
                <w:color w:val="000000"/>
                <w:kern w:val="0"/>
                <w:sz w:val="21"/>
                <w:szCs w:val="21"/>
                <w:lang w:bidi="ar"/>
              </w:rPr>
            </w:pPr>
            <w:r>
              <w:rPr>
                <w:rFonts w:ascii="仿宋_GB2312" w:hAnsi="宋体" w:cs="仿宋"/>
                <w:color w:val="000000"/>
                <w:kern w:val="0"/>
                <w:sz w:val="21"/>
                <w:szCs w:val="21"/>
                <w:lang w:bidi="ar"/>
              </w:rPr>
              <w:t>4</w:t>
            </w:r>
          </w:p>
        </w:tc>
      </w:tr>
      <w:tr>
        <w:tblPrEx>
          <w:tblCellMar>
            <w:top w:w="0" w:type="dxa"/>
            <w:left w:w="108" w:type="dxa"/>
            <w:bottom w:w="0" w:type="dxa"/>
            <w:right w:w="108" w:type="dxa"/>
          </w:tblCellMar>
        </w:tblPrEx>
        <w:trPr>
          <w:trHeight w:val="23" w:hRule="atLeast"/>
        </w:trPr>
        <w:tc>
          <w:tcPr>
            <w:tcW w:w="8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auto"/>
              <w:ind w:firstLine="420"/>
              <w:jc w:val="center"/>
              <w:rPr>
                <w:rFonts w:ascii="仿宋_GB2312" w:hAnsi="宋体" w:cs="仿宋"/>
                <w:color w:val="000000"/>
                <w:sz w:val="21"/>
                <w:szCs w:val="21"/>
              </w:rPr>
            </w:pPr>
          </w:p>
        </w:tc>
        <w:tc>
          <w:tcPr>
            <w:tcW w:w="8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auto"/>
              <w:ind w:firstLine="420"/>
              <w:jc w:val="center"/>
              <w:rPr>
                <w:rFonts w:ascii="仿宋_GB2312" w:hAnsi="宋体" w:cs="仿宋"/>
                <w:color w:val="000000"/>
                <w:sz w:val="21"/>
                <w:szCs w:val="21"/>
              </w:rPr>
            </w:pPr>
          </w:p>
        </w:tc>
        <w:tc>
          <w:tcPr>
            <w:tcW w:w="113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auto"/>
              <w:ind w:firstLine="0" w:firstLineChars="0"/>
              <w:jc w:val="center"/>
              <w:textAlignment w:val="center"/>
              <w:rPr>
                <w:rFonts w:ascii="仿宋_GB2312" w:hAnsi="宋体" w:cs="仿宋"/>
                <w:color w:val="000000"/>
                <w:sz w:val="21"/>
                <w:szCs w:val="21"/>
              </w:rPr>
            </w:pPr>
            <w:r>
              <w:rPr>
                <w:rFonts w:hint="eastAsia" w:ascii="仿宋_GB2312" w:hAnsi="宋体" w:cs="仿宋"/>
                <w:color w:val="000000"/>
                <w:kern w:val="0"/>
                <w:sz w:val="21"/>
                <w:szCs w:val="21"/>
                <w:lang w:bidi="ar"/>
              </w:rPr>
              <w:t>组织实施</w:t>
            </w:r>
          </w:p>
        </w:tc>
        <w:tc>
          <w:tcPr>
            <w:tcW w:w="85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auto"/>
              <w:ind w:firstLine="0" w:firstLineChars="0"/>
              <w:jc w:val="center"/>
              <w:textAlignment w:val="center"/>
              <w:rPr>
                <w:rFonts w:ascii="仿宋_GB2312" w:hAnsi="宋体" w:cs="仿宋"/>
                <w:color w:val="000000"/>
                <w:sz w:val="21"/>
                <w:szCs w:val="21"/>
              </w:rPr>
            </w:pPr>
            <w:r>
              <w:rPr>
                <w:rFonts w:ascii="仿宋_GB2312" w:hAnsi="宋体" w:cs="仿宋"/>
                <w:color w:val="000000"/>
                <w:kern w:val="0"/>
                <w:sz w:val="21"/>
                <w:szCs w:val="21"/>
                <w:lang w:bidi="ar"/>
              </w:rPr>
              <w:t>8</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auto"/>
              <w:ind w:firstLine="0" w:firstLineChars="0"/>
              <w:jc w:val="center"/>
              <w:textAlignment w:val="center"/>
              <w:rPr>
                <w:rFonts w:ascii="仿宋_GB2312" w:hAnsi="宋体" w:cs="仿宋"/>
                <w:color w:val="000000"/>
                <w:sz w:val="21"/>
                <w:szCs w:val="21"/>
              </w:rPr>
            </w:pPr>
            <w:r>
              <w:rPr>
                <w:rFonts w:hint="eastAsia" w:ascii="仿宋_GB2312" w:hAnsi="宋体" w:cs="仿宋"/>
                <w:color w:val="000000"/>
                <w:kern w:val="0"/>
                <w:sz w:val="21"/>
                <w:szCs w:val="21"/>
                <w:lang w:bidi="ar"/>
              </w:rPr>
              <w:t>管理制度健全性</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auto"/>
              <w:ind w:firstLine="0" w:firstLineChars="0"/>
              <w:jc w:val="center"/>
              <w:textAlignment w:val="center"/>
              <w:rPr>
                <w:rFonts w:ascii="仿宋_GB2312" w:hAnsi="宋体" w:cs="仿宋"/>
                <w:color w:val="000000"/>
                <w:sz w:val="21"/>
                <w:szCs w:val="21"/>
              </w:rPr>
            </w:pPr>
            <w:r>
              <w:rPr>
                <w:rFonts w:ascii="仿宋_GB2312" w:hAnsi="宋体" w:cs="仿宋"/>
                <w:color w:val="000000"/>
                <w:kern w:val="0"/>
                <w:sz w:val="21"/>
                <w:szCs w:val="21"/>
                <w:lang w:bidi="ar"/>
              </w:rPr>
              <w:t>2</w:t>
            </w:r>
          </w:p>
        </w:tc>
        <w:tc>
          <w:tcPr>
            <w:tcW w:w="85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auto"/>
              <w:ind w:firstLine="0" w:firstLineChars="0"/>
              <w:jc w:val="center"/>
              <w:textAlignment w:val="center"/>
              <w:rPr>
                <w:rFonts w:ascii="仿宋_GB2312" w:hAnsi="宋体" w:cs="仿宋"/>
                <w:color w:val="000000"/>
                <w:kern w:val="0"/>
                <w:sz w:val="21"/>
                <w:szCs w:val="21"/>
                <w:lang w:bidi="ar"/>
              </w:rPr>
            </w:pPr>
            <w:r>
              <w:rPr>
                <w:rFonts w:ascii="仿宋_GB2312" w:hAnsi="宋体" w:cs="仿宋"/>
                <w:color w:val="000000"/>
                <w:kern w:val="0"/>
                <w:sz w:val="21"/>
                <w:szCs w:val="21"/>
                <w:lang w:bidi="ar"/>
              </w:rPr>
              <w:t>2</w:t>
            </w:r>
          </w:p>
        </w:tc>
      </w:tr>
      <w:tr>
        <w:tblPrEx>
          <w:tblCellMar>
            <w:top w:w="0" w:type="dxa"/>
            <w:left w:w="108" w:type="dxa"/>
            <w:bottom w:w="0" w:type="dxa"/>
            <w:right w:w="108" w:type="dxa"/>
          </w:tblCellMar>
        </w:tblPrEx>
        <w:trPr>
          <w:trHeight w:val="23" w:hRule="atLeast"/>
        </w:trPr>
        <w:tc>
          <w:tcPr>
            <w:tcW w:w="8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auto"/>
              <w:ind w:firstLine="420"/>
              <w:jc w:val="center"/>
              <w:rPr>
                <w:rFonts w:ascii="仿宋_GB2312" w:hAnsi="宋体" w:cs="仿宋"/>
                <w:color w:val="000000"/>
                <w:sz w:val="21"/>
                <w:szCs w:val="21"/>
              </w:rPr>
            </w:pPr>
          </w:p>
        </w:tc>
        <w:tc>
          <w:tcPr>
            <w:tcW w:w="8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auto"/>
              <w:ind w:firstLine="420"/>
              <w:jc w:val="center"/>
              <w:rPr>
                <w:rFonts w:ascii="仿宋_GB2312" w:hAnsi="宋体" w:cs="仿宋"/>
                <w:color w:val="000000"/>
                <w:sz w:val="21"/>
                <w:szCs w:val="21"/>
              </w:rPr>
            </w:pPr>
          </w:p>
        </w:tc>
        <w:tc>
          <w:tcPr>
            <w:tcW w:w="11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auto"/>
              <w:ind w:firstLine="420"/>
              <w:jc w:val="center"/>
              <w:rPr>
                <w:rFonts w:ascii="仿宋_GB2312" w:hAnsi="宋体" w:cs="仿宋"/>
                <w:color w:val="000000"/>
                <w:sz w:val="21"/>
                <w:szCs w:val="21"/>
              </w:rPr>
            </w:pPr>
          </w:p>
        </w:tc>
        <w:tc>
          <w:tcPr>
            <w:tcW w:w="85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auto"/>
              <w:ind w:firstLine="420"/>
              <w:jc w:val="center"/>
              <w:rPr>
                <w:rFonts w:ascii="仿宋_GB2312" w:hAnsi="宋体" w:cs="仿宋"/>
                <w:color w:val="000000"/>
                <w:sz w:val="21"/>
                <w:szCs w:val="21"/>
              </w:rPr>
            </w:pP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auto"/>
              <w:ind w:firstLine="0" w:firstLineChars="0"/>
              <w:jc w:val="center"/>
              <w:textAlignment w:val="center"/>
              <w:rPr>
                <w:rFonts w:ascii="仿宋_GB2312" w:hAnsi="宋体" w:cs="仿宋"/>
                <w:color w:val="000000"/>
                <w:sz w:val="21"/>
                <w:szCs w:val="21"/>
              </w:rPr>
            </w:pPr>
            <w:r>
              <w:rPr>
                <w:rFonts w:hint="eastAsia" w:ascii="仿宋_GB2312" w:hAnsi="宋体" w:cs="仿宋"/>
                <w:color w:val="000000"/>
                <w:kern w:val="0"/>
                <w:sz w:val="21"/>
                <w:szCs w:val="21"/>
                <w:lang w:bidi="ar"/>
              </w:rPr>
              <w:t>制度执行有效性</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auto"/>
              <w:ind w:firstLine="0" w:firstLineChars="0"/>
              <w:jc w:val="center"/>
              <w:textAlignment w:val="center"/>
              <w:rPr>
                <w:rFonts w:ascii="仿宋_GB2312" w:hAnsi="宋体" w:cs="仿宋"/>
                <w:color w:val="000000"/>
                <w:sz w:val="21"/>
                <w:szCs w:val="21"/>
              </w:rPr>
            </w:pPr>
            <w:r>
              <w:rPr>
                <w:rFonts w:ascii="仿宋_GB2312" w:hAnsi="宋体" w:cs="仿宋"/>
                <w:color w:val="000000"/>
                <w:kern w:val="0"/>
                <w:sz w:val="21"/>
                <w:szCs w:val="21"/>
                <w:lang w:bidi="ar"/>
              </w:rPr>
              <w:t>4</w:t>
            </w:r>
          </w:p>
        </w:tc>
        <w:tc>
          <w:tcPr>
            <w:tcW w:w="85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auto"/>
              <w:ind w:firstLine="0" w:firstLineChars="0"/>
              <w:jc w:val="center"/>
              <w:textAlignment w:val="center"/>
              <w:rPr>
                <w:rFonts w:ascii="仿宋_GB2312" w:hAnsi="宋体" w:cs="仿宋"/>
                <w:color w:val="000000"/>
                <w:kern w:val="0"/>
                <w:sz w:val="21"/>
                <w:szCs w:val="21"/>
                <w:lang w:bidi="ar"/>
              </w:rPr>
            </w:pPr>
            <w:r>
              <w:rPr>
                <w:rFonts w:ascii="仿宋_GB2312" w:hAnsi="宋体" w:cs="仿宋"/>
                <w:color w:val="000000"/>
                <w:kern w:val="0"/>
                <w:sz w:val="21"/>
                <w:szCs w:val="21"/>
                <w:lang w:bidi="ar"/>
              </w:rPr>
              <w:t>4</w:t>
            </w:r>
          </w:p>
        </w:tc>
      </w:tr>
      <w:tr>
        <w:tblPrEx>
          <w:tblCellMar>
            <w:top w:w="0" w:type="dxa"/>
            <w:left w:w="108" w:type="dxa"/>
            <w:bottom w:w="0" w:type="dxa"/>
            <w:right w:w="108" w:type="dxa"/>
          </w:tblCellMar>
        </w:tblPrEx>
        <w:trPr>
          <w:trHeight w:val="23" w:hRule="atLeast"/>
        </w:trPr>
        <w:tc>
          <w:tcPr>
            <w:tcW w:w="8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auto"/>
              <w:ind w:firstLine="420"/>
              <w:jc w:val="center"/>
              <w:rPr>
                <w:rFonts w:ascii="仿宋_GB2312" w:hAnsi="宋体" w:cs="仿宋"/>
                <w:color w:val="000000"/>
                <w:sz w:val="21"/>
                <w:szCs w:val="21"/>
              </w:rPr>
            </w:pPr>
          </w:p>
        </w:tc>
        <w:tc>
          <w:tcPr>
            <w:tcW w:w="8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auto"/>
              <w:ind w:firstLine="420"/>
              <w:jc w:val="center"/>
              <w:rPr>
                <w:rFonts w:ascii="仿宋_GB2312" w:hAnsi="宋体" w:cs="仿宋"/>
                <w:color w:val="000000"/>
                <w:sz w:val="21"/>
                <w:szCs w:val="21"/>
              </w:rPr>
            </w:pPr>
          </w:p>
        </w:tc>
        <w:tc>
          <w:tcPr>
            <w:tcW w:w="11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auto"/>
              <w:ind w:firstLine="420"/>
              <w:jc w:val="center"/>
              <w:rPr>
                <w:rFonts w:ascii="仿宋_GB2312" w:hAnsi="宋体" w:cs="仿宋"/>
                <w:color w:val="000000"/>
                <w:sz w:val="21"/>
                <w:szCs w:val="21"/>
              </w:rPr>
            </w:pPr>
          </w:p>
        </w:tc>
        <w:tc>
          <w:tcPr>
            <w:tcW w:w="85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auto"/>
              <w:ind w:firstLine="420"/>
              <w:jc w:val="center"/>
              <w:rPr>
                <w:rFonts w:ascii="仿宋_GB2312" w:hAnsi="宋体" w:cs="仿宋"/>
                <w:color w:val="000000"/>
                <w:sz w:val="21"/>
                <w:szCs w:val="21"/>
              </w:rPr>
            </w:pP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auto"/>
              <w:ind w:firstLine="0" w:firstLineChars="0"/>
              <w:jc w:val="center"/>
              <w:textAlignment w:val="center"/>
              <w:rPr>
                <w:rFonts w:ascii="仿宋_GB2312" w:hAnsi="宋体" w:cs="仿宋"/>
                <w:color w:val="000000"/>
                <w:sz w:val="21"/>
                <w:szCs w:val="21"/>
              </w:rPr>
            </w:pPr>
            <w:r>
              <w:rPr>
                <w:rFonts w:hint="eastAsia" w:ascii="仿宋_GB2312" w:hAnsi="宋体" w:cs="仿宋"/>
                <w:color w:val="000000"/>
                <w:kern w:val="0"/>
                <w:sz w:val="21"/>
                <w:szCs w:val="21"/>
                <w:lang w:bidi="ar"/>
              </w:rPr>
              <w:t>档案管理规范性</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auto"/>
              <w:ind w:firstLine="0" w:firstLineChars="0"/>
              <w:jc w:val="center"/>
              <w:textAlignment w:val="center"/>
              <w:rPr>
                <w:rFonts w:ascii="仿宋_GB2312" w:hAnsi="宋体" w:cs="仿宋"/>
                <w:color w:val="000000"/>
                <w:sz w:val="21"/>
                <w:szCs w:val="21"/>
              </w:rPr>
            </w:pPr>
            <w:r>
              <w:rPr>
                <w:rFonts w:ascii="仿宋_GB2312" w:hAnsi="宋体" w:cs="仿宋"/>
                <w:color w:val="000000"/>
                <w:kern w:val="0"/>
                <w:sz w:val="21"/>
                <w:szCs w:val="21"/>
                <w:lang w:bidi="ar"/>
              </w:rPr>
              <w:t>2</w:t>
            </w:r>
          </w:p>
        </w:tc>
        <w:tc>
          <w:tcPr>
            <w:tcW w:w="85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auto"/>
              <w:ind w:firstLine="0" w:firstLineChars="0"/>
              <w:jc w:val="center"/>
              <w:textAlignment w:val="center"/>
              <w:rPr>
                <w:rFonts w:ascii="仿宋_GB2312" w:hAnsi="宋体" w:cs="仿宋"/>
                <w:color w:val="000000"/>
                <w:kern w:val="0"/>
                <w:sz w:val="21"/>
                <w:szCs w:val="21"/>
                <w:lang w:bidi="ar"/>
              </w:rPr>
            </w:pPr>
            <w:r>
              <w:rPr>
                <w:rFonts w:ascii="仿宋_GB2312" w:hAnsi="宋体" w:cs="仿宋"/>
                <w:color w:val="000000"/>
                <w:kern w:val="0"/>
                <w:sz w:val="21"/>
                <w:szCs w:val="21"/>
                <w:lang w:bidi="ar"/>
              </w:rPr>
              <w:t>1.5</w:t>
            </w:r>
          </w:p>
        </w:tc>
      </w:tr>
      <w:tr>
        <w:tblPrEx>
          <w:tblCellMar>
            <w:top w:w="0" w:type="dxa"/>
            <w:left w:w="108" w:type="dxa"/>
            <w:bottom w:w="0" w:type="dxa"/>
            <w:right w:w="108" w:type="dxa"/>
          </w:tblCellMar>
        </w:tblPrEx>
        <w:trPr>
          <w:trHeight w:val="23" w:hRule="atLeast"/>
        </w:trPr>
        <w:tc>
          <w:tcPr>
            <w:tcW w:w="84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auto"/>
              <w:ind w:firstLine="0" w:firstLineChars="0"/>
              <w:jc w:val="center"/>
              <w:textAlignment w:val="center"/>
              <w:rPr>
                <w:rFonts w:ascii="仿宋_GB2312" w:hAnsi="宋体" w:cs="仿宋"/>
                <w:color w:val="000000"/>
                <w:kern w:val="0"/>
                <w:sz w:val="21"/>
                <w:szCs w:val="21"/>
                <w:lang w:bidi="ar"/>
              </w:rPr>
            </w:pPr>
            <w:r>
              <w:rPr>
                <w:rFonts w:hint="eastAsia" w:ascii="仿宋_GB2312" w:hAnsi="宋体" w:cs="仿宋"/>
                <w:color w:val="000000"/>
                <w:kern w:val="0"/>
                <w:sz w:val="21"/>
                <w:szCs w:val="21"/>
                <w:lang w:bidi="ar"/>
              </w:rPr>
              <w:t>项目</w:t>
            </w:r>
          </w:p>
          <w:p>
            <w:pPr>
              <w:widowControl/>
              <w:spacing w:line="240" w:lineRule="auto"/>
              <w:ind w:firstLine="0" w:firstLineChars="0"/>
              <w:jc w:val="center"/>
              <w:textAlignment w:val="center"/>
              <w:rPr>
                <w:rFonts w:ascii="仿宋_GB2312" w:hAnsi="宋体" w:cs="仿宋"/>
                <w:color w:val="000000"/>
                <w:sz w:val="21"/>
                <w:szCs w:val="21"/>
              </w:rPr>
            </w:pPr>
            <w:r>
              <w:rPr>
                <w:rFonts w:hint="eastAsia" w:ascii="仿宋_GB2312" w:hAnsi="宋体" w:cs="仿宋"/>
                <w:color w:val="000000"/>
                <w:kern w:val="0"/>
                <w:sz w:val="21"/>
                <w:szCs w:val="21"/>
                <w:lang w:bidi="ar"/>
              </w:rPr>
              <w:t>产出</w:t>
            </w:r>
          </w:p>
        </w:tc>
        <w:tc>
          <w:tcPr>
            <w:tcW w:w="8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auto"/>
              <w:ind w:firstLine="0" w:firstLineChars="0"/>
              <w:jc w:val="center"/>
              <w:textAlignment w:val="center"/>
              <w:rPr>
                <w:rFonts w:ascii="仿宋_GB2312" w:hAnsi="宋体" w:cs="仿宋"/>
                <w:color w:val="000000"/>
                <w:sz w:val="21"/>
                <w:szCs w:val="21"/>
              </w:rPr>
            </w:pPr>
            <w:r>
              <w:rPr>
                <w:rFonts w:ascii="仿宋_GB2312" w:hAnsi="宋体" w:cs="仿宋"/>
                <w:color w:val="000000"/>
                <w:sz w:val="21"/>
                <w:szCs w:val="21"/>
              </w:rPr>
              <w:t>35</w:t>
            </w:r>
          </w:p>
        </w:tc>
        <w:tc>
          <w:tcPr>
            <w:tcW w:w="1134" w:type="dxa"/>
            <w:vMerge w:val="restart"/>
            <w:tcBorders>
              <w:top w:val="single" w:color="000000" w:sz="4" w:space="0"/>
              <w:left w:val="single" w:color="000000" w:sz="4" w:space="0"/>
              <w:bottom w:val="nil"/>
              <w:right w:val="single" w:color="000000" w:sz="4" w:space="0"/>
            </w:tcBorders>
            <w:shd w:val="clear" w:color="auto" w:fill="auto"/>
            <w:vAlign w:val="center"/>
          </w:tcPr>
          <w:p>
            <w:pPr>
              <w:widowControl/>
              <w:spacing w:line="240" w:lineRule="auto"/>
              <w:ind w:firstLine="0" w:firstLineChars="0"/>
              <w:jc w:val="center"/>
              <w:textAlignment w:val="center"/>
              <w:rPr>
                <w:rFonts w:ascii="仿宋_GB2312" w:hAnsi="宋体" w:cs="仿宋"/>
                <w:color w:val="000000"/>
                <w:sz w:val="21"/>
                <w:szCs w:val="21"/>
              </w:rPr>
            </w:pPr>
            <w:r>
              <w:rPr>
                <w:rFonts w:hint="eastAsia" w:ascii="仿宋_GB2312" w:hAnsi="宋体" w:cs="仿宋"/>
                <w:color w:val="000000"/>
                <w:kern w:val="0"/>
                <w:sz w:val="21"/>
                <w:szCs w:val="21"/>
                <w:lang w:bidi="ar"/>
              </w:rPr>
              <w:t>产出数量</w:t>
            </w:r>
          </w:p>
        </w:tc>
        <w:tc>
          <w:tcPr>
            <w:tcW w:w="851" w:type="dxa"/>
            <w:vMerge w:val="restart"/>
            <w:tcBorders>
              <w:top w:val="single" w:color="000000" w:sz="4" w:space="0"/>
              <w:left w:val="single" w:color="000000" w:sz="4" w:space="0"/>
              <w:bottom w:val="nil"/>
              <w:right w:val="single" w:color="000000" w:sz="4" w:space="0"/>
            </w:tcBorders>
            <w:shd w:val="clear" w:color="auto" w:fill="auto"/>
            <w:vAlign w:val="center"/>
          </w:tcPr>
          <w:p>
            <w:pPr>
              <w:widowControl/>
              <w:spacing w:line="240" w:lineRule="auto"/>
              <w:ind w:firstLine="0" w:firstLineChars="0"/>
              <w:jc w:val="center"/>
              <w:textAlignment w:val="center"/>
              <w:rPr>
                <w:rFonts w:ascii="仿宋_GB2312" w:hAnsi="宋体" w:cs="仿宋"/>
                <w:color w:val="000000"/>
                <w:sz w:val="21"/>
                <w:szCs w:val="21"/>
              </w:rPr>
            </w:pPr>
            <w:r>
              <w:rPr>
                <w:rFonts w:ascii="仿宋_GB2312" w:hAnsi="宋体" w:cs="仿宋"/>
                <w:color w:val="000000"/>
                <w:kern w:val="0"/>
                <w:sz w:val="21"/>
                <w:szCs w:val="21"/>
                <w:lang w:bidi="ar"/>
              </w:rPr>
              <w:t>12</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auto"/>
              <w:ind w:firstLine="0" w:firstLineChars="0"/>
              <w:jc w:val="center"/>
              <w:textAlignment w:val="center"/>
              <w:rPr>
                <w:rFonts w:ascii="仿宋_GB2312" w:hAnsi="宋体" w:cs="仿宋"/>
                <w:color w:val="000000"/>
                <w:sz w:val="21"/>
                <w:szCs w:val="21"/>
              </w:rPr>
            </w:pPr>
            <w:r>
              <w:rPr>
                <w:rFonts w:hint="eastAsia" w:ascii="仿宋_GB2312" w:hAnsi="宋体" w:cs="仿宋"/>
                <w:color w:val="000000"/>
                <w:kern w:val="0"/>
                <w:sz w:val="21"/>
                <w:szCs w:val="21"/>
                <w:lang w:bidi="ar"/>
              </w:rPr>
              <w:t>系统维护数量</w:t>
            </w:r>
          </w:p>
        </w:tc>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240" w:lineRule="auto"/>
              <w:ind w:firstLine="0" w:firstLineChars="0"/>
              <w:jc w:val="center"/>
              <w:textAlignment w:val="center"/>
              <w:rPr>
                <w:rFonts w:ascii="仿宋_GB2312" w:hAnsi="宋体" w:cs="仿宋"/>
                <w:color w:val="000000"/>
                <w:sz w:val="21"/>
                <w:szCs w:val="21"/>
              </w:rPr>
            </w:pPr>
            <w:r>
              <w:rPr>
                <w:rFonts w:ascii="仿宋_GB2312" w:hAnsi="宋体" w:cs="仿宋"/>
                <w:color w:val="000000"/>
                <w:kern w:val="0"/>
                <w:sz w:val="21"/>
                <w:szCs w:val="21"/>
                <w:lang w:bidi="ar"/>
              </w:rPr>
              <w:t>4</w:t>
            </w:r>
          </w:p>
        </w:tc>
        <w:tc>
          <w:tcPr>
            <w:tcW w:w="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240" w:lineRule="auto"/>
              <w:ind w:firstLine="0" w:firstLineChars="0"/>
              <w:jc w:val="center"/>
              <w:textAlignment w:val="center"/>
              <w:rPr>
                <w:rFonts w:ascii="仿宋_GB2312" w:hAnsi="宋体" w:cs="仿宋"/>
                <w:color w:val="000000"/>
                <w:kern w:val="0"/>
                <w:sz w:val="21"/>
                <w:szCs w:val="21"/>
                <w:lang w:bidi="ar"/>
              </w:rPr>
            </w:pPr>
            <w:r>
              <w:rPr>
                <w:rFonts w:ascii="仿宋_GB2312" w:hAnsi="宋体" w:cs="仿宋"/>
                <w:color w:val="000000"/>
                <w:kern w:val="0"/>
                <w:sz w:val="21"/>
                <w:szCs w:val="21"/>
                <w:lang w:bidi="ar"/>
              </w:rPr>
              <w:t>4</w:t>
            </w:r>
          </w:p>
        </w:tc>
      </w:tr>
      <w:tr>
        <w:tblPrEx>
          <w:tblCellMar>
            <w:top w:w="0" w:type="dxa"/>
            <w:left w:w="108" w:type="dxa"/>
            <w:bottom w:w="0" w:type="dxa"/>
            <w:right w:w="108" w:type="dxa"/>
          </w:tblCellMar>
        </w:tblPrEx>
        <w:trPr>
          <w:trHeight w:val="23" w:hRule="atLeast"/>
        </w:trPr>
        <w:tc>
          <w:tcPr>
            <w:tcW w:w="8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auto"/>
              <w:ind w:firstLine="420"/>
              <w:jc w:val="center"/>
              <w:rPr>
                <w:rFonts w:ascii="仿宋_GB2312" w:hAnsi="宋体" w:cs="仿宋"/>
                <w:color w:val="000000"/>
                <w:sz w:val="21"/>
                <w:szCs w:val="21"/>
              </w:rPr>
            </w:pPr>
          </w:p>
        </w:tc>
        <w:tc>
          <w:tcPr>
            <w:tcW w:w="8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auto"/>
              <w:ind w:firstLine="420"/>
              <w:jc w:val="center"/>
              <w:rPr>
                <w:rFonts w:ascii="仿宋_GB2312" w:hAnsi="宋体" w:cs="仿宋"/>
                <w:color w:val="000000"/>
                <w:sz w:val="21"/>
                <w:szCs w:val="21"/>
              </w:rPr>
            </w:pPr>
          </w:p>
        </w:tc>
        <w:tc>
          <w:tcPr>
            <w:tcW w:w="1134" w:type="dxa"/>
            <w:vMerge w:val="continue"/>
            <w:tcBorders>
              <w:top w:val="single" w:color="000000" w:sz="4" w:space="0"/>
              <w:left w:val="single" w:color="000000" w:sz="4" w:space="0"/>
              <w:bottom w:val="nil"/>
              <w:right w:val="single" w:color="000000" w:sz="4" w:space="0"/>
            </w:tcBorders>
            <w:shd w:val="clear" w:color="auto" w:fill="auto"/>
            <w:vAlign w:val="center"/>
          </w:tcPr>
          <w:p>
            <w:pPr>
              <w:spacing w:line="240" w:lineRule="auto"/>
              <w:ind w:firstLine="420"/>
              <w:jc w:val="center"/>
              <w:rPr>
                <w:rFonts w:ascii="仿宋_GB2312" w:hAnsi="宋体" w:cs="仿宋"/>
                <w:color w:val="000000"/>
                <w:sz w:val="21"/>
                <w:szCs w:val="21"/>
              </w:rPr>
            </w:pPr>
          </w:p>
        </w:tc>
        <w:tc>
          <w:tcPr>
            <w:tcW w:w="851" w:type="dxa"/>
            <w:vMerge w:val="continue"/>
            <w:tcBorders>
              <w:top w:val="single" w:color="000000" w:sz="4" w:space="0"/>
              <w:left w:val="single" w:color="000000" w:sz="4" w:space="0"/>
              <w:bottom w:val="nil"/>
              <w:right w:val="single" w:color="000000" w:sz="4" w:space="0"/>
            </w:tcBorders>
            <w:shd w:val="clear" w:color="auto" w:fill="auto"/>
            <w:vAlign w:val="center"/>
          </w:tcPr>
          <w:p>
            <w:pPr>
              <w:spacing w:line="240" w:lineRule="auto"/>
              <w:ind w:firstLine="420"/>
              <w:jc w:val="center"/>
              <w:rPr>
                <w:rFonts w:ascii="仿宋_GB2312" w:hAnsi="宋体" w:cs="仿宋"/>
                <w:color w:val="000000"/>
                <w:sz w:val="21"/>
                <w:szCs w:val="21"/>
              </w:rPr>
            </w:pP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auto"/>
              <w:ind w:firstLine="0" w:firstLineChars="0"/>
              <w:jc w:val="center"/>
              <w:textAlignment w:val="center"/>
              <w:rPr>
                <w:rFonts w:ascii="仿宋_GB2312" w:hAnsi="宋体" w:cs="仿宋"/>
                <w:color w:val="000000"/>
                <w:sz w:val="21"/>
                <w:szCs w:val="21"/>
              </w:rPr>
            </w:pPr>
            <w:r>
              <w:rPr>
                <w:rFonts w:hint="eastAsia" w:ascii="仿宋_GB2312" w:hAnsi="宋体" w:cs="仿宋"/>
                <w:color w:val="000000"/>
                <w:kern w:val="0"/>
                <w:sz w:val="21"/>
                <w:szCs w:val="21"/>
                <w:lang w:bidi="ar"/>
              </w:rPr>
              <w:t>系统升级新增功能数</w:t>
            </w:r>
          </w:p>
        </w:tc>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240" w:lineRule="auto"/>
              <w:ind w:firstLine="0" w:firstLineChars="0"/>
              <w:jc w:val="center"/>
              <w:textAlignment w:val="center"/>
              <w:rPr>
                <w:rFonts w:ascii="仿宋_GB2312" w:hAnsi="宋体" w:cs="仿宋"/>
                <w:color w:val="000000"/>
                <w:sz w:val="21"/>
                <w:szCs w:val="21"/>
              </w:rPr>
            </w:pPr>
            <w:r>
              <w:rPr>
                <w:rFonts w:ascii="仿宋_GB2312" w:hAnsi="宋体" w:cs="仿宋"/>
                <w:color w:val="000000"/>
                <w:kern w:val="0"/>
                <w:sz w:val="21"/>
                <w:szCs w:val="21"/>
                <w:lang w:bidi="ar"/>
              </w:rPr>
              <w:t>6</w:t>
            </w:r>
          </w:p>
        </w:tc>
        <w:tc>
          <w:tcPr>
            <w:tcW w:w="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240" w:lineRule="auto"/>
              <w:ind w:firstLine="0" w:firstLineChars="0"/>
              <w:jc w:val="center"/>
              <w:textAlignment w:val="center"/>
              <w:rPr>
                <w:rFonts w:ascii="仿宋_GB2312" w:hAnsi="宋体" w:cs="仿宋"/>
                <w:color w:val="000000"/>
                <w:kern w:val="0"/>
                <w:sz w:val="21"/>
                <w:szCs w:val="21"/>
                <w:lang w:bidi="ar"/>
              </w:rPr>
            </w:pPr>
            <w:r>
              <w:rPr>
                <w:rFonts w:ascii="仿宋_GB2312" w:hAnsi="宋体" w:cs="仿宋"/>
                <w:color w:val="000000"/>
                <w:kern w:val="0"/>
                <w:sz w:val="21"/>
                <w:szCs w:val="21"/>
                <w:lang w:bidi="ar"/>
              </w:rPr>
              <w:t>6</w:t>
            </w:r>
          </w:p>
        </w:tc>
      </w:tr>
      <w:tr>
        <w:tblPrEx>
          <w:tblCellMar>
            <w:top w:w="0" w:type="dxa"/>
            <w:left w:w="108" w:type="dxa"/>
            <w:bottom w:w="0" w:type="dxa"/>
            <w:right w:w="108" w:type="dxa"/>
          </w:tblCellMar>
        </w:tblPrEx>
        <w:trPr>
          <w:trHeight w:val="23" w:hRule="atLeast"/>
        </w:trPr>
        <w:tc>
          <w:tcPr>
            <w:tcW w:w="8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auto"/>
              <w:ind w:firstLine="420"/>
              <w:jc w:val="center"/>
              <w:rPr>
                <w:rFonts w:ascii="仿宋_GB2312" w:hAnsi="宋体" w:cs="仿宋"/>
                <w:color w:val="000000"/>
                <w:sz w:val="21"/>
                <w:szCs w:val="21"/>
              </w:rPr>
            </w:pPr>
          </w:p>
        </w:tc>
        <w:tc>
          <w:tcPr>
            <w:tcW w:w="8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auto"/>
              <w:ind w:firstLine="420"/>
              <w:jc w:val="center"/>
              <w:rPr>
                <w:rFonts w:ascii="仿宋_GB2312" w:hAnsi="宋体" w:cs="仿宋"/>
                <w:color w:val="000000"/>
                <w:sz w:val="21"/>
                <w:szCs w:val="21"/>
              </w:rPr>
            </w:pPr>
          </w:p>
        </w:tc>
        <w:tc>
          <w:tcPr>
            <w:tcW w:w="1134" w:type="dxa"/>
            <w:vMerge w:val="continue"/>
            <w:tcBorders>
              <w:top w:val="single" w:color="000000" w:sz="4" w:space="0"/>
              <w:left w:val="single" w:color="000000" w:sz="4" w:space="0"/>
              <w:bottom w:val="nil"/>
              <w:right w:val="single" w:color="000000" w:sz="4" w:space="0"/>
            </w:tcBorders>
            <w:shd w:val="clear" w:color="auto" w:fill="auto"/>
            <w:vAlign w:val="center"/>
          </w:tcPr>
          <w:p>
            <w:pPr>
              <w:spacing w:line="240" w:lineRule="auto"/>
              <w:ind w:firstLine="420"/>
              <w:jc w:val="center"/>
              <w:rPr>
                <w:rFonts w:ascii="仿宋_GB2312" w:hAnsi="宋体" w:cs="仿宋"/>
                <w:color w:val="000000"/>
                <w:sz w:val="21"/>
                <w:szCs w:val="21"/>
              </w:rPr>
            </w:pPr>
          </w:p>
        </w:tc>
        <w:tc>
          <w:tcPr>
            <w:tcW w:w="851" w:type="dxa"/>
            <w:vMerge w:val="continue"/>
            <w:tcBorders>
              <w:top w:val="single" w:color="000000" w:sz="4" w:space="0"/>
              <w:left w:val="single" w:color="000000" w:sz="4" w:space="0"/>
              <w:bottom w:val="nil"/>
              <w:right w:val="single" w:color="000000" w:sz="4" w:space="0"/>
            </w:tcBorders>
            <w:shd w:val="clear" w:color="auto" w:fill="auto"/>
            <w:vAlign w:val="center"/>
          </w:tcPr>
          <w:p>
            <w:pPr>
              <w:spacing w:line="240" w:lineRule="auto"/>
              <w:ind w:firstLine="420"/>
              <w:jc w:val="center"/>
              <w:rPr>
                <w:rFonts w:ascii="仿宋_GB2312" w:hAnsi="宋体" w:cs="仿宋"/>
                <w:color w:val="000000"/>
                <w:sz w:val="21"/>
                <w:szCs w:val="21"/>
              </w:rPr>
            </w:pP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auto"/>
              <w:ind w:firstLine="0" w:firstLineChars="0"/>
              <w:jc w:val="center"/>
              <w:textAlignment w:val="center"/>
              <w:rPr>
                <w:rFonts w:ascii="仿宋_GB2312" w:hAnsi="宋体" w:cs="仿宋"/>
                <w:color w:val="000000"/>
                <w:sz w:val="21"/>
                <w:szCs w:val="21"/>
              </w:rPr>
            </w:pPr>
            <w:r>
              <w:rPr>
                <w:rFonts w:hint="eastAsia" w:ascii="仿宋_GB2312" w:hAnsi="宋体" w:cs="仿宋"/>
                <w:color w:val="000000"/>
                <w:kern w:val="0"/>
                <w:sz w:val="21"/>
                <w:szCs w:val="21"/>
                <w:lang w:bidi="ar"/>
              </w:rPr>
              <w:t>系统培训种类数</w:t>
            </w:r>
          </w:p>
        </w:tc>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240" w:lineRule="auto"/>
              <w:ind w:firstLine="0" w:firstLineChars="0"/>
              <w:jc w:val="center"/>
              <w:textAlignment w:val="center"/>
              <w:rPr>
                <w:rFonts w:ascii="仿宋_GB2312" w:hAnsi="宋体" w:cs="仿宋"/>
                <w:color w:val="000000"/>
                <w:sz w:val="21"/>
                <w:szCs w:val="21"/>
              </w:rPr>
            </w:pPr>
            <w:r>
              <w:rPr>
                <w:rFonts w:ascii="仿宋_GB2312" w:hAnsi="宋体" w:cs="仿宋"/>
                <w:color w:val="000000"/>
                <w:kern w:val="0"/>
                <w:sz w:val="21"/>
                <w:szCs w:val="21"/>
                <w:lang w:bidi="ar"/>
              </w:rPr>
              <w:t>2</w:t>
            </w:r>
          </w:p>
        </w:tc>
        <w:tc>
          <w:tcPr>
            <w:tcW w:w="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240" w:lineRule="auto"/>
              <w:ind w:firstLine="0" w:firstLineChars="0"/>
              <w:jc w:val="center"/>
              <w:textAlignment w:val="center"/>
              <w:rPr>
                <w:rFonts w:ascii="仿宋_GB2312" w:hAnsi="宋体" w:cs="仿宋"/>
                <w:color w:val="000000"/>
                <w:kern w:val="0"/>
                <w:sz w:val="21"/>
                <w:szCs w:val="21"/>
                <w:lang w:bidi="ar"/>
              </w:rPr>
            </w:pPr>
            <w:r>
              <w:rPr>
                <w:rFonts w:ascii="仿宋_GB2312" w:hAnsi="宋体" w:cs="仿宋"/>
                <w:color w:val="000000"/>
                <w:kern w:val="0"/>
                <w:sz w:val="21"/>
                <w:szCs w:val="21"/>
                <w:lang w:bidi="ar"/>
              </w:rPr>
              <w:t>2</w:t>
            </w:r>
          </w:p>
        </w:tc>
      </w:tr>
      <w:tr>
        <w:tblPrEx>
          <w:tblCellMar>
            <w:top w:w="0" w:type="dxa"/>
            <w:left w:w="108" w:type="dxa"/>
            <w:bottom w:w="0" w:type="dxa"/>
            <w:right w:w="108" w:type="dxa"/>
          </w:tblCellMar>
        </w:tblPrEx>
        <w:trPr>
          <w:trHeight w:val="23" w:hRule="atLeast"/>
        </w:trPr>
        <w:tc>
          <w:tcPr>
            <w:tcW w:w="8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auto"/>
              <w:ind w:firstLine="420"/>
              <w:jc w:val="center"/>
              <w:rPr>
                <w:rFonts w:ascii="仿宋_GB2312" w:hAnsi="宋体" w:cs="仿宋"/>
                <w:color w:val="000000"/>
                <w:sz w:val="21"/>
                <w:szCs w:val="21"/>
              </w:rPr>
            </w:pPr>
          </w:p>
        </w:tc>
        <w:tc>
          <w:tcPr>
            <w:tcW w:w="8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auto"/>
              <w:ind w:firstLine="420"/>
              <w:jc w:val="center"/>
              <w:rPr>
                <w:rFonts w:ascii="仿宋_GB2312" w:hAnsi="宋体" w:cs="仿宋"/>
                <w:color w:val="000000"/>
                <w:sz w:val="21"/>
                <w:szCs w:val="21"/>
              </w:rPr>
            </w:pPr>
          </w:p>
        </w:tc>
        <w:tc>
          <w:tcPr>
            <w:tcW w:w="113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auto"/>
              <w:ind w:firstLine="0" w:firstLineChars="0"/>
              <w:jc w:val="center"/>
              <w:textAlignment w:val="center"/>
              <w:rPr>
                <w:rFonts w:ascii="仿宋_GB2312" w:hAnsi="宋体" w:cs="仿宋"/>
                <w:color w:val="000000"/>
                <w:sz w:val="21"/>
                <w:szCs w:val="21"/>
              </w:rPr>
            </w:pPr>
            <w:r>
              <w:rPr>
                <w:rFonts w:hint="eastAsia" w:ascii="仿宋_GB2312" w:hAnsi="宋体" w:cs="仿宋"/>
                <w:color w:val="000000"/>
                <w:kern w:val="0"/>
                <w:sz w:val="21"/>
                <w:szCs w:val="21"/>
                <w:lang w:bidi="ar"/>
              </w:rPr>
              <w:t>产出质量</w:t>
            </w:r>
          </w:p>
        </w:tc>
        <w:tc>
          <w:tcPr>
            <w:tcW w:w="85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auto"/>
              <w:ind w:firstLine="0" w:firstLineChars="0"/>
              <w:jc w:val="center"/>
              <w:textAlignment w:val="center"/>
              <w:rPr>
                <w:rFonts w:ascii="仿宋_GB2312" w:hAnsi="宋体" w:cs="仿宋"/>
                <w:color w:val="000000"/>
                <w:sz w:val="21"/>
                <w:szCs w:val="21"/>
              </w:rPr>
            </w:pPr>
            <w:r>
              <w:rPr>
                <w:rFonts w:ascii="仿宋_GB2312" w:hAnsi="宋体" w:cs="仿宋"/>
                <w:color w:val="000000"/>
                <w:kern w:val="0"/>
                <w:sz w:val="21"/>
                <w:szCs w:val="21"/>
                <w:lang w:bidi="ar"/>
              </w:rPr>
              <w:t>12</w:t>
            </w: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auto"/>
              <w:ind w:firstLine="0" w:firstLineChars="0"/>
              <w:jc w:val="center"/>
              <w:textAlignment w:val="center"/>
              <w:rPr>
                <w:rFonts w:ascii="仿宋_GB2312" w:hAnsi="宋体" w:cs="仿宋"/>
                <w:color w:val="000000"/>
                <w:sz w:val="21"/>
                <w:szCs w:val="21"/>
              </w:rPr>
            </w:pPr>
            <w:r>
              <w:rPr>
                <w:rFonts w:hint="eastAsia" w:ascii="仿宋_GB2312" w:hAnsi="宋体" w:cs="仿宋"/>
                <w:color w:val="000000"/>
                <w:kern w:val="0"/>
                <w:sz w:val="21"/>
                <w:szCs w:val="21"/>
                <w:lang w:bidi="ar"/>
              </w:rPr>
              <w:t>项目验收合格率</w:t>
            </w:r>
          </w:p>
        </w:tc>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240" w:lineRule="auto"/>
              <w:ind w:firstLine="0" w:firstLineChars="0"/>
              <w:jc w:val="center"/>
              <w:textAlignment w:val="center"/>
              <w:rPr>
                <w:rFonts w:ascii="仿宋_GB2312" w:hAnsi="宋体" w:cs="仿宋"/>
                <w:color w:val="000000"/>
                <w:sz w:val="21"/>
                <w:szCs w:val="21"/>
              </w:rPr>
            </w:pPr>
            <w:r>
              <w:rPr>
                <w:rFonts w:ascii="仿宋_GB2312" w:hAnsi="宋体" w:cs="仿宋"/>
                <w:color w:val="000000"/>
                <w:kern w:val="0"/>
                <w:sz w:val="21"/>
                <w:szCs w:val="21"/>
                <w:lang w:bidi="ar"/>
              </w:rPr>
              <w:t>4</w:t>
            </w:r>
          </w:p>
        </w:tc>
        <w:tc>
          <w:tcPr>
            <w:tcW w:w="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240" w:lineRule="auto"/>
              <w:ind w:firstLine="0" w:firstLineChars="0"/>
              <w:jc w:val="center"/>
              <w:textAlignment w:val="center"/>
              <w:rPr>
                <w:rFonts w:ascii="仿宋_GB2312" w:hAnsi="宋体" w:cs="仿宋"/>
                <w:color w:val="000000"/>
                <w:kern w:val="0"/>
                <w:sz w:val="21"/>
                <w:szCs w:val="21"/>
                <w:lang w:bidi="ar"/>
              </w:rPr>
            </w:pPr>
            <w:r>
              <w:rPr>
                <w:rFonts w:ascii="仿宋_GB2312" w:hAnsi="宋体" w:cs="仿宋"/>
                <w:color w:val="000000"/>
                <w:kern w:val="0"/>
                <w:sz w:val="21"/>
                <w:szCs w:val="21"/>
                <w:lang w:bidi="ar"/>
              </w:rPr>
              <w:t>4</w:t>
            </w:r>
          </w:p>
        </w:tc>
      </w:tr>
      <w:tr>
        <w:tblPrEx>
          <w:tblCellMar>
            <w:top w:w="0" w:type="dxa"/>
            <w:left w:w="108" w:type="dxa"/>
            <w:bottom w:w="0" w:type="dxa"/>
            <w:right w:w="108" w:type="dxa"/>
          </w:tblCellMar>
        </w:tblPrEx>
        <w:trPr>
          <w:trHeight w:val="23" w:hRule="atLeast"/>
        </w:trPr>
        <w:tc>
          <w:tcPr>
            <w:tcW w:w="8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auto"/>
              <w:ind w:firstLine="420"/>
              <w:jc w:val="center"/>
              <w:rPr>
                <w:rFonts w:ascii="仿宋_GB2312" w:hAnsi="宋体" w:cs="仿宋"/>
                <w:color w:val="000000"/>
                <w:sz w:val="21"/>
                <w:szCs w:val="21"/>
              </w:rPr>
            </w:pPr>
          </w:p>
        </w:tc>
        <w:tc>
          <w:tcPr>
            <w:tcW w:w="8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auto"/>
              <w:ind w:firstLine="420"/>
              <w:jc w:val="center"/>
              <w:rPr>
                <w:rFonts w:ascii="仿宋_GB2312" w:hAnsi="宋体" w:cs="仿宋"/>
                <w:color w:val="000000"/>
                <w:sz w:val="21"/>
                <w:szCs w:val="21"/>
              </w:rPr>
            </w:pPr>
          </w:p>
        </w:tc>
        <w:tc>
          <w:tcPr>
            <w:tcW w:w="11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auto"/>
              <w:ind w:firstLine="420"/>
              <w:jc w:val="center"/>
              <w:rPr>
                <w:rFonts w:ascii="仿宋_GB2312" w:hAnsi="宋体" w:cs="仿宋"/>
                <w:color w:val="000000"/>
                <w:sz w:val="21"/>
                <w:szCs w:val="21"/>
              </w:rPr>
            </w:pPr>
          </w:p>
        </w:tc>
        <w:tc>
          <w:tcPr>
            <w:tcW w:w="85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auto"/>
              <w:ind w:firstLine="420"/>
              <w:jc w:val="center"/>
              <w:rPr>
                <w:rFonts w:ascii="仿宋_GB2312" w:hAnsi="宋体" w:cs="仿宋"/>
                <w:color w:val="000000"/>
                <w:sz w:val="21"/>
                <w:szCs w:val="21"/>
              </w:rPr>
            </w:pPr>
          </w:p>
        </w:tc>
        <w:tc>
          <w:tcPr>
            <w:tcW w:w="29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auto"/>
              <w:ind w:firstLine="0" w:firstLineChars="0"/>
              <w:jc w:val="center"/>
              <w:textAlignment w:val="center"/>
              <w:rPr>
                <w:rFonts w:ascii="仿宋_GB2312" w:hAnsi="宋体" w:cs="仿宋"/>
                <w:color w:val="000000"/>
                <w:sz w:val="21"/>
                <w:szCs w:val="21"/>
              </w:rPr>
            </w:pPr>
            <w:r>
              <w:rPr>
                <w:rFonts w:hint="eastAsia" w:ascii="仿宋_GB2312" w:hAnsi="宋体" w:cs="仿宋"/>
                <w:color w:val="000000"/>
                <w:kern w:val="0"/>
                <w:sz w:val="21"/>
                <w:szCs w:val="21"/>
                <w:lang w:bidi="ar"/>
              </w:rPr>
              <w:t>系统培训参与率</w:t>
            </w:r>
          </w:p>
        </w:tc>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240" w:lineRule="auto"/>
              <w:ind w:firstLine="0" w:firstLineChars="0"/>
              <w:jc w:val="center"/>
              <w:textAlignment w:val="center"/>
              <w:rPr>
                <w:rFonts w:ascii="仿宋_GB2312" w:hAnsi="宋体" w:cs="仿宋"/>
                <w:color w:val="000000"/>
                <w:sz w:val="21"/>
                <w:szCs w:val="21"/>
              </w:rPr>
            </w:pPr>
            <w:r>
              <w:rPr>
                <w:rFonts w:ascii="仿宋_GB2312" w:hAnsi="宋体" w:cs="仿宋"/>
                <w:color w:val="000000"/>
                <w:kern w:val="0"/>
                <w:sz w:val="21"/>
                <w:szCs w:val="21"/>
                <w:lang w:bidi="ar"/>
              </w:rPr>
              <w:t>2</w:t>
            </w:r>
          </w:p>
        </w:tc>
        <w:tc>
          <w:tcPr>
            <w:tcW w:w="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240" w:lineRule="auto"/>
              <w:ind w:firstLine="0" w:firstLineChars="0"/>
              <w:jc w:val="center"/>
              <w:textAlignment w:val="center"/>
              <w:rPr>
                <w:rFonts w:ascii="仿宋_GB2312" w:hAnsi="宋体" w:cs="仿宋"/>
                <w:color w:val="000000"/>
                <w:kern w:val="0"/>
                <w:sz w:val="21"/>
                <w:szCs w:val="21"/>
                <w:lang w:bidi="ar"/>
              </w:rPr>
            </w:pPr>
            <w:r>
              <w:rPr>
                <w:rFonts w:ascii="仿宋_GB2312" w:hAnsi="宋体" w:cs="仿宋"/>
                <w:color w:val="000000"/>
                <w:kern w:val="0"/>
                <w:sz w:val="21"/>
                <w:szCs w:val="21"/>
                <w:lang w:bidi="ar"/>
              </w:rPr>
              <w:t>1.15</w:t>
            </w:r>
          </w:p>
        </w:tc>
      </w:tr>
      <w:tr>
        <w:tblPrEx>
          <w:tblCellMar>
            <w:top w:w="0" w:type="dxa"/>
            <w:left w:w="108" w:type="dxa"/>
            <w:bottom w:w="0" w:type="dxa"/>
            <w:right w:w="108" w:type="dxa"/>
          </w:tblCellMar>
        </w:tblPrEx>
        <w:trPr>
          <w:trHeight w:val="23" w:hRule="atLeast"/>
        </w:trPr>
        <w:tc>
          <w:tcPr>
            <w:tcW w:w="8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auto"/>
              <w:ind w:firstLine="420"/>
              <w:jc w:val="center"/>
              <w:rPr>
                <w:rFonts w:ascii="仿宋_GB2312" w:hAnsi="宋体" w:cs="仿宋"/>
                <w:color w:val="000000"/>
                <w:sz w:val="21"/>
                <w:szCs w:val="21"/>
              </w:rPr>
            </w:pPr>
          </w:p>
        </w:tc>
        <w:tc>
          <w:tcPr>
            <w:tcW w:w="8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auto"/>
              <w:ind w:firstLine="420"/>
              <w:jc w:val="center"/>
              <w:rPr>
                <w:rFonts w:ascii="仿宋_GB2312" w:hAnsi="宋体" w:cs="仿宋"/>
                <w:color w:val="000000"/>
                <w:sz w:val="21"/>
                <w:szCs w:val="21"/>
              </w:rPr>
            </w:pPr>
          </w:p>
        </w:tc>
        <w:tc>
          <w:tcPr>
            <w:tcW w:w="11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auto"/>
              <w:ind w:firstLine="420"/>
              <w:jc w:val="center"/>
              <w:rPr>
                <w:rFonts w:ascii="仿宋_GB2312" w:hAnsi="宋体" w:cs="仿宋"/>
                <w:color w:val="000000"/>
                <w:sz w:val="21"/>
                <w:szCs w:val="21"/>
              </w:rPr>
            </w:pPr>
          </w:p>
        </w:tc>
        <w:tc>
          <w:tcPr>
            <w:tcW w:w="85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auto"/>
              <w:ind w:firstLine="420"/>
              <w:jc w:val="center"/>
              <w:rPr>
                <w:rFonts w:ascii="仿宋_GB2312" w:hAnsi="宋体" w:cs="仿宋"/>
                <w:color w:val="000000"/>
                <w:sz w:val="21"/>
                <w:szCs w:val="21"/>
              </w:rPr>
            </w:pPr>
          </w:p>
        </w:tc>
        <w:tc>
          <w:tcPr>
            <w:tcW w:w="29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240" w:lineRule="auto"/>
              <w:ind w:firstLine="0" w:firstLineChars="0"/>
              <w:jc w:val="center"/>
              <w:textAlignment w:val="center"/>
              <w:rPr>
                <w:rFonts w:ascii="仿宋_GB2312" w:hAnsi="宋体" w:cs="仿宋"/>
                <w:color w:val="000000"/>
                <w:sz w:val="21"/>
                <w:szCs w:val="21"/>
              </w:rPr>
            </w:pPr>
            <w:r>
              <w:rPr>
                <w:rFonts w:hint="eastAsia" w:ascii="仿宋_GB2312" w:hAnsi="宋体" w:cs="仿宋"/>
                <w:color w:val="000000"/>
                <w:kern w:val="0"/>
                <w:sz w:val="21"/>
                <w:szCs w:val="21"/>
                <w:lang w:bidi="ar"/>
              </w:rPr>
              <w:t>故障排除率</w:t>
            </w:r>
          </w:p>
        </w:tc>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240" w:lineRule="auto"/>
              <w:ind w:firstLine="0" w:firstLineChars="0"/>
              <w:jc w:val="center"/>
              <w:textAlignment w:val="center"/>
              <w:rPr>
                <w:rFonts w:ascii="仿宋_GB2312" w:hAnsi="宋体" w:cs="仿宋"/>
                <w:color w:val="000000"/>
                <w:sz w:val="21"/>
                <w:szCs w:val="21"/>
              </w:rPr>
            </w:pPr>
            <w:r>
              <w:rPr>
                <w:rFonts w:ascii="仿宋_GB2312" w:hAnsi="宋体" w:cs="仿宋"/>
                <w:color w:val="000000"/>
                <w:sz w:val="21"/>
                <w:szCs w:val="21"/>
              </w:rPr>
              <w:t>6</w:t>
            </w:r>
          </w:p>
        </w:tc>
        <w:tc>
          <w:tcPr>
            <w:tcW w:w="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240" w:lineRule="auto"/>
              <w:ind w:firstLine="0" w:firstLineChars="0"/>
              <w:jc w:val="center"/>
              <w:textAlignment w:val="center"/>
              <w:rPr>
                <w:rFonts w:ascii="仿宋_GB2312" w:hAnsi="宋体" w:cs="仿宋"/>
                <w:color w:val="000000"/>
                <w:kern w:val="0"/>
                <w:sz w:val="21"/>
                <w:szCs w:val="21"/>
                <w:lang w:bidi="ar"/>
              </w:rPr>
            </w:pPr>
            <w:r>
              <w:rPr>
                <w:rFonts w:ascii="仿宋_GB2312" w:hAnsi="宋体" w:cs="仿宋"/>
                <w:color w:val="000000"/>
                <w:kern w:val="0"/>
                <w:sz w:val="21"/>
                <w:szCs w:val="21"/>
                <w:lang w:bidi="ar"/>
              </w:rPr>
              <w:t>6</w:t>
            </w:r>
          </w:p>
        </w:tc>
      </w:tr>
      <w:tr>
        <w:tblPrEx>
          <w:tblCellMar>
            <w:top w:w="0" w:type="dxa"/>
            <w:left w:w="108" w:type="dxa"/>
            <w:bottom w:w="0" w:type="dxa"/>
            <w:right w:w="108" w:type="dxa"/>
          </w:tblCellMar>
        </w:tblPrEx>
        <w:trPr>
          <w:trHeight w:val="23" w:hRule="atLeast"/>
        </w:trPr>
        <w:tc>
          <w:tcPr>
            <w:tcW w:w="8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auto"/>
              <w:ind w:firstLine="420"/>
              <w:jc w:val="center"/>
              <w:rPr>
                <w:rFonts w:ascii="仿宋_GB2312" w:hAnsi="宋体" w:cs="仿宋"/>
                <w:color w:val="000000"/>
                <w:sz w:val="21"/>
                <w:szCs w:val="21"/>
              </w:rPr>
            </w:pPr>
          </w:p>
        </w:tc>
        <w:tc>
          <w:tcPr>
            <w:tcW w:w="8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auto"/>
              <w:ind w:firstLine="420"/>
              <w:jc w:val="center"/>
              <w:rPr>
                <w:rFonts w:ascii="仿宋_GB2312" w:hAnsi="宋体" w:cs="仿宋"/>
                <w:color w:val="000000"/>
                <w:sz w:val="21"/>
                <w:szCs w:val="21"/>
              </w:rPr>
            </w:pPr>
          </w:p>
        </w:tc>
        <w:tc>
          <w:tcPr>
            <w:tcW w:w="113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auto"/>
              <w:ind w:firstLine="0" w:firstLineChars="0"/>
              <w:jc w:val="center"/>
              <w:textAlignment w:val="center"/>
              <w:rPr>
                <w:rFonts w:ascii="仿宋_GB2312" w:hAnsi="宋体" w:cs="仿宋"/>
                <w:color w:val="000000"/>
                <w:sz w:val="21"/>
                <w:szCs w:val="21"/>
              </w:rPr>
            </w:pPr>
            <w:r>
              <w:rPr>
                <w:rFonts w:hint="eastAsia" w:ascii="仿宋_GB2312" w:hAnsi="宋体" w:cs="仿宋"/>
                <w:color w:val="000000"/>
                <w:kern w:val="0"/>
                <w:sz w:val="21"/>
                <w:szCs w:val="21"/>
                <w:lang w:bidi="ar"/>
              </w:rPr>
              <w:t>产出时效</w:t>
            </w:r>
          </w:p>
        </w:tc>
        <w:tc>
          <w:tcPr>
            <w:tcW w:w="85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auto"/>
              <w:ind w:firstLine="0" w:firstLineChars="0"/>
              <w:jc w:val="center"/>
              <w:textAlignment w:val="center"/>
              <w:rPr>
                <w:rFonts w:ascii="仿宋_GB2312" w:hAnsi="宋体" w:cs="仿宋"/>
                <w:color w:val="000000"/>
                <w:sz w:val="21"/>
                <w:szCs w:val="21"/>
              </w:rPr>
            </w:pPr>
            <w:r>
              <w:rPr>
                <w:rFonts w:ascii="仿宋_GB2312" w:hAnsi="宋体" w:cs="仿宋"/>
                <w:color w:val="000000"/>
                <w:sz w:val="21"/>
                <w:szCs w:val="21"/>
              </w:rPr>
              <w:t>5</w:t>
            </w:r>
          </w:p>
        </w:tc>
        <w:tc>
          <w:tcPr>
            <w:tcW w:w="29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240" w:lineRule="auto"/>
              <w:ind w:firstLine="0" w:firstLineChars="0"/>
              <w:jc w:val="center"/>
              <w:textAlignment w:val="center"/>
              <w:rPr>
                <w:rFonts w:ascii="仿宋_GB2312" w:hAnsi="宋体" w:cs="仿宋"/>
                <w:color w:val="000000"/>
                <w:sz w:val="21"/>
                <w:szCs w:val="21"/>
              </w:rPr>
            </w:pPr>
            <w:r>
              <w:rPr>
                <w:rFonts w:hint="eastAsia" w:ascii="仿宋_GB2312" w:hAnsi="宋体" w:cs="仿宋"/>
                <w:color w:val="000000"/>
                <w:kern w:val="0"/>
                <w:sz w:val="21"/>
                <w:szCs w:val="21"/>
                <w:lang w:bidi="ar"/>
              </w:rPr>
              <w:t>银行对账数据导入及时率</w:t>
            </w:r>
          </w:p>
        </w:tc>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240" w:lineRule="auto"/>
              <w:ind w:firstLine="0" w:firstLineChars="0"/>
              <w:jc w:val="center"/>
              <w:textAlignment w:val="center"/>
              <w:rPr>
                <w:rFonts w:ascii="仿宋_GB2312" w:hAnsi="宋体" w:cs="仿宋"/>
                <w:color w:val="000000"/>
                <w:sz w:val="21"/>
                <w:szCs w:val="21"/>
              </w:rPr>
            </w:pPr>
            <w:r>
              <w:rPr>
                <w:rFonts w:ascii="仿宋_GB2312" w:hAnsi="宋体" w:cs="仿宋"/>
                <w:color w:val="000000"/>
                <w:sz w:val="21"/>
                <w:szCs w:val="21"/>
              </w:rPr>
              <w:t>2</w:t>
            </w:r>
          </w:p>
        </w:tc>
        <w:tc>
          <w:tcPr>
            <w:tcW w:w="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240" w:lineRule="auto"/>
              <w:ind w:firstLine="0" w:firstLineChars="0"/>
              <w:jc w:val="center"/>
              <w:textAlignment w:val="center"/>
              <w:rPr>
                <w:rFonts w:ascii="仿宋_GB2312" w:hAnsi="宋体" w:cs="仿宋"/>
                <w:color w:val="000000"/>
                <w:kern w:val="0"/>
                <w:sz w:val="21"/>
                <w:szCs w:val="21"/>
                <w:lang w:bidi="ar"/>
              </w:rPr>
            </w:pPr>
            <w:r>
              <w:rPr>
                <w:rFonts w:ascii="仿宋_GB2312" w:hAnsi="宋体" w:cs="仿宋"/>
                <w:color w:val="000000"/>
                <w:kern w:val="0"/>
                <w:sz w:val="21"/>
                <w:szCs w:val="21"/>
                <w:lang w:bidi="ar"/>
              </w:rPr>
              <w:t>1.51</w:t>
            </w:r>
          </w:p>
        </w:tc>
      </w:tr>
      <w:tr>
        <w:tblPrEx>
          <w:tblCellMar>
            <w:top w:w="0" w:type="dxa"/>
            <w:left w:w="108" w:type="dxa"/>
            <w:bottom w:w="0" w:type="dxa"/>
            <w:right w:w="108" w:type="dxa"/>
          </w:tblCellMar>
        </w:tblPrEx>
        <w:trPr>
          <w:trHeight w:val="23" w:hRule="atLeast"/>
        </w:trPr>
        <w:tc>
          <w:tcPr>
            <w:tcW w:w="8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auto"/>
              <w:ind w:firstLine="420"/>
              <w:jc w:val="center"/>
              <w:rPr>
                <w:rFonts w:ascii="仿宋_GB2312" w:hAnsi="宋体" w:cs="仿宋"/>
                <w:color w:val="000000"/>
                <w:sz w:val="21"/>
                <w:szCs w:val="21"/>
              </w:rPr>
            </w:pPr>
          </w:p>
        </w:tc>
        <w:tc>
          <w:tcPr>
            <w:tcW w:w="8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auto"/>
              <w:ind w:firstLine="420"/>
              <w:jc w:val="center"/>
              <w:rPr>
                <w:rFonts w:ascii="仿宋_GB2312" w:hAnsi="宋体" w:cs="仿宋"/>
                <w:color w:val="000000"/>
                <w:sz w:val="21"/>
                <w:szCs w:val="21"/>
              </w:rPr>
            </w:pPr>
          </w:p>
        </w:tc>
        <w:tc>
          <w:tcPr>
            <w:tcW w:w="11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auto"/>
              <w:ind w:firstLine="420"/>
              <w:jc w:val="center"/>
              <w:rPr>
                <w:rFonts w:ascii="仿宋_GB2312" w:hAnsi="宋体" w:cs="仿宋"/>
                <w:color w:val="000000"/>
                <w:sz w:val="21"/>
                <w:szCs w:val="21"/>
              </w:rPr>
            </w:pPr>
          </w:p>
        </w:tc>
        <w:tc>
          <w:tcPr>
            <w:tcW w:w="85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auto"/>
              <w:ind w:firstLine="420"/>
              <w:jc w:val="center"/>
              <w:rPr>
                <w:rFonts w:ascii="仿宋_GB2312" w:hAnsi="宋体" w:cs="仿宋"/>
                <w:color w:val="000000"/>
                <w:sz w:val="21"/>
                <w:szCs w:val="21"/>
              </w:rPr>
            </w:pPr>
          </w:p>
        </w:tc>
        <w:tc>
          <w:tcPr>
            <w:tcW w:w="29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240" w:lineRule="auto"/>
              <w:ind w:firstLine="0" w:firstLineChars="0"/>
              <w:jc w:val="center"/>
              <w:textAlignment w:val="center"/>
              <w:rPr>
                <w:rFonts w:ascii="仿宋_GB2312" w:hAnsi="宋体" w:cs="仿宋"/>
                <w:color w:val="000000"/>
                <w:sz w:val="21"/>
                <w:szCs w:val="21"/>
              </w:rPr>
            </w:pPr>
            <w:r>
              <w:rPr>
                <w:rFonts w:hint="eastAsia" w:ascii="仿宋_GB2312" w:hAnsi="宋体" w:cs="仿宋"/>
                <w:color w:val="000000"/>
                <w:kern w:val="0"/>
                <w:sz w:val="21"/>
                <w:szCs w:val="21"/>
                <w:lang w:bidi="ar"/>
              </w:rPr>
              <w:t>故障处理及时率</w:t>
            </w:r>
          </w:p>
        </w:tc>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240" w:lineRule="auto"/>
              <w:ind w:firstLine="0" w:firstLineChars="0"/>
              <w:jc w:val="center"/>
              <w:textAlignment w:val="center"/>
              <w:rPr>
                <w:rFonts w:ascii="仿宋_GB2312" w:hAnsi="宋体" w:cs="仿宋"/>
                <w:color w:val="000000"/>
                <w:sz w:val="21"/>
                <w:szCs w:val="21"/>
              </w:rPr>
            </w:pPr>
            <w:r>
              <w:rPr>
                <w:rFonts w:ascii="仿宋_GB2312" w:hAnsi="宋体" w:cs="仿宋"/>
                <w:color w:val="000000"/>
                <w:sz w:val="21"/>
                <w:szCs w:val="21"/>
              </w:rPr>
              <w:t>3</w:t>
            </w:r>
          </w:p>
        </w:tc>
        <w:tc>
          <w:tcPr>
            <w:tcW w:w="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240" w:lineRule="auto"/>
              <w:ind w:firstLine="0" w:firstLineChars="0"/>
              <w:jc w:val="center"/>
              <w:textAlignment w:val="center"/>
              <w:rPr>
                <w:rFonts w:ascii="仿宋_GB2312" w:hAnsi="宋体" w:cs="仿宋"/>
                <w:color w:val="000000"/>
                <w:kern w:val="0"/>
                <w:sz w:val="21"/>
                <w:szCs w:val="21"/>
                <w:lang w:bidi="ar"/>
              </w:rPr>
            </w:pPr>
            <w:r>
              <w:rPr>
                <w:rFonts w:ascii="仿宋_GB2312" w:hAnsi="宋体" w:cs="仿宋"/>
                <w:color w:val="000000"/>
                <w:kern w:val="0"/>
                <w:sz w:val="21"/>
                <w:szCs w:val="21"/>
                <w:lang w:bidi="ar"/>
              </w:rPr>
              <w:t>2.3</w:t>
            </w:r>
          </w:p>
        </w:tc>
      </w:tr>
      <w:tr>
        <w:tblPrEx>
          <w:tblCellMar>
            <w:top w:w="0" w:type="dxa"/>
            <w:left w:w="108" w:type="dxa"/>
            <w:bottom w:w="0" w:type="dxa"/>
            <w:right w:w="108" w:type="dxa"/>
          </w:tblCellMar>
        </w:tblPrEx>
        <w:trPr>
          <w:trHeight w:val="23" w:hRule="atLeast"/>
        </w:trPr>
        <w:tc>
          <w:tcPr>
            <w:tcW w:w="8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auto"/>
              <w:ind w:firstLine="420"/>
              <w:jc w:val="center"/>
              <w:rPr>
                <w:rFonts w:ascii="仿宋_GB2312" w:hAnsi="宋体" w:cs="仿宋"/>
                <w:color w:val="000000"/>
                <w:sz w:val="21"/>
                <w:szCs w:val="21"/>
              </w:rPr>
            </w:pPr>
          </w:p>
        </w:tc>
        <w:tc>
          <w:tcPr>
            <w:tcW w:w="8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auto"/>
              <w:ind w:firstLine="420"/>
              <w:jc w:val="center"/>
              <w:rPr>
                <w:rFonts w:ascii="仿宋_GB2312" w:hAnsi="宋体" w:cs="仿宋"/>
                <w:color w:val="000000"/>
                <w:sz w:val="21"/>
                <w:szCs w:val="21"/>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auto"/>
              <w:ind w:firstLine="0" w:firstLineChars="0"/>
              <w:jc w:val="center"/>
              <w:textAlignment w:val="center"/>
              <w:rPr>
                <w:rFonts w:ascii="仿宋_GB2312" w:hAnsi="宋体" w:cs="仿宋"/>
                <w:color w:val="000000"/>
                <w:sz w:val="21"/>
                <w:szCs w:val="21"/>
              </w:rPr>
            </w:pPr>
            <w:r>
              <w:rPr>
                <w:rFonts w:hint="eastAsia" w:ascii="仿宋_GB2312" w:hAnsi="宋体" w:cs="仿宋"/>
                <w:color w:val="000000"/>
                <w:kern w:val="0"/>
                <w:sz w:val="21"/>
                <w:szCs w:val="21"/>
                <w:lang w:bidi="ar"/>
              </w:rPr>
              <w:t>产出成本</w:t>
            </w:r>
          </w:p>
        </w:tc>
        <w:tc>
          <w:tcPr>
            <w:tcW w:w="85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auto"/>
              <w:ind w:firstLine="0" w:firstLineChars="0"/>
              <w:jc w:val="center"/>
              <w:textAlignment w:val="center"/>
              <w:rPr>
                <w:rFonts w:ascii="仿宋_GB2312" w:hAnsi="宋体" w:cs="仿宋"/>
                <w:color w:val="000000"/>
                <w:sz w:val="21"/>
                <w:szCs w:val="21"/>
              </w:rPr>
            </w:pPr>
            <w:r>
              <w:rPr>
                <w:rFonts w:ascii="仿宋_GB2312" w:hAnsi="宋体" w:cs="仿宋"/>
                <w:color w:val="000000"/>
                <w:sz w:val="21"/>
                <w:szCs w:val="21"/>
              </w:rPr>
              <w:t>6</w:t>
            </w:r>
          </w:p>
        </w:tc>
        <w:tc>
          <w:tcPr>
            <w:tcW w:w="29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240" w:lineRule="auto"/>
              <w:ind w:firstLine="0" w:firstLineChars="0"/>
              <w:jc w:val="center"/>
              <w:textAlignment w:val="center"/>
              <w:rPr>
                <w:rFonts w:ascii="仿宋_GB2312" w:hAnsi="宋体" w:cs="仿宋"/>
                <w:color w:val="000000"/>
                <w:sz w:val="21"/>
                <w:szCs w:val="21"/>
              </w:rPr>
            </w:pPr>
            <w:r>
              <w:rPr>
                <w:rFonts w:hint="eastAsia" w:ascii="仿宋_GB2312" w:hAnsi="宋体" w:cs="仿宋"/>
                <w:color w:val="000000"/>
                <w:kern w:val="0"/>
                <w:sz w:val="21"/>
                <w:szCs w:val="21"/>
                <w:lang w:bidi="ar"/>
              </w:rPr>
              <w:t>支付进度达标率</w:t>
            </w:r>
          </w:p>
        </w:tc>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240" w:lineRule="auto"/>
              <w:ind w:firstLine="0" w:firstLineChars="0"/>
              <w:jc w:val="center"/>
              <w:textAlignment w:val="center"/>
              <w:rPr>
                <w:rFonts w:ascii="仿宋_GB2312" w:hAnsi="宋体" w:cs="仿宋"/>
                <w:color w:val="000000"/>
                <w:sz w:val="21"/>
                <w:szCs w:val="21"/>
              </w:rPr>
            </w:pPr>
            <w:r>
              <w:rPr>
                <w:rFonts w:ascii="仿宋_GB2312" w:hAnsi="宋体" w:cs="仿宋"/>
                <w:color w:val="000000"/>
                <w:sz w:val="21"/>
                <w:szCs w:val="21"/>
              </w:rPr>
              <w:t>6</w:t>
            </w:r>
          </w:p>
        </w:tc>
        <w:tc>
          <w:tcPr>
            <w:tcW w:w="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240" w:lineRule="auto"/>
              <w:ind w:firstLine="0" w:firstLineChars="0"/>
              <w:jc w:val="center"/>
              <w:textAlignment w:val="center"/>
              <w:rPr>
                <w:rFonts w:ascii="仿宋_GB2312" w:hAnsi="宋体" w:cs="仿宋"/>
                <w:color w:val="000000"/>
                <w:kern w:val="0"/>
                <w:sz w:val="21"/>
                <w:szCs w:val="21"/>
                <w:lang w:bidi="ar"/>
              </w:rPr>
            </w:pPr>
            <w:r>
              <w:rPr>
                <w:rFonts w:ascii="仿宋_GB2312" w:hAnsi="宋体" w:cs="仿宋"/>
                <w:color w:val="000000"/>
                <w:kern w:val="0"/>
                <w:sz w:val="21"/>
                <w:szCs w:val="21"/>
                <w:lang w:bidi="ar"/>
              </w:rPr>
              <w:t>5</w:t>
            </w:r>
          </w:p>
        </w:tc>
      </w:tr>
      <w:tr>
        <w:tblPrEx>
          <w:tblCellMar>
            <w:top w:w="0" w:type="dxa"/>
            <w:left w:w="108" w:type="dxa"/>
            <w:bottom w:w="0" w:type="dxa"/>
            <w:right w:w="108" w:type="dxa"/>
          </w:tblCellMar>
        </w:tblPrEx>
        <w:trPr>
          <w:trHeight w:val="23" w:hRule="atLeast"/>
        </w:trPr>
        <w:tc>
          <w:tcPr>
            <w:tcW w:w="84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auto"/>
              <w:ind w:firstLine="0" w:firstLineChars="0"/>
              <w:jc w:val="center"/>
              <w:textAlignment w:val="center"/>
              <w:rPr>
                <w:rFonts w:ascii="仿宋_GB2312" w:hAnsi="宋体" w:cs="仿宋"/>
                <w:color w:val="000000"/>
                <w:kern w:val="0"/>
                <w:sz w:val="21"/>
                <w:szCs w:val="21"/>
                <w:lang w:bidi="ar"/>
              </w:rPr>
            </w:pPr>
            <w:r>
              <w:rPr>
                <w:rFonts w:hint="eastAsia" w:ascii="仿宋_GB2312" w:hAnsi="宋体" w:cs="仿宋"/>
                <w:color w:val="000000"/>
                <w:kern w:val="0"/>
                <w:sz w:val="21"/>
                <w:szCs w:val="21"/>
                <w:lang w:bidi="ar"/>
              </w:rPr>
              <w:t>项目</w:t>
            </w:r>
          </w:p>
          <w:p>
            <w:pPr>
              <w:widowControl/>
              <w:spacing w:line="240" w:lineRule="auto"/>
              <w:ind w:firstLine="0" w:firstLineChars="0"/>
              <w:jc w:val="center"/>
              <w:textAlignment w:val="center"/>
              <w:rPr>
                <w:rFonts w:ascii="仿宋_GB2312" w:hAnsi="宋体" w:cs="仿宋"/>
                <w:color w:val="000000"/>
                <w:sz w:val="21"/>
                <w:szCs w:val="21"/>
              </w:rPr>
            </w:pPr>
            <w:r>
              <w:rPr>
                <w:rFonts w:hint="eastAsia" w:ascii="仿宋_GB2312" w:hAnsi="宋体" w:cs="仿宋"/>
                <w:color w:val="000000"/>
                <w:kern w:val="0"/>
                <w:sz w:val="21"/>
                <w:szCs w:val="21"/>
                <w:lang w:bidi="ar"/>
              </w:rPr>
              <w:t>效益</w:t>
            </w:r>
          </w:p>
        </w:tc>
        <w:tc>
          <w:tcPr>
            <w:tcW w:w="8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auto"/>
              <w:ind w:firstLine="0" w:firstLineChars="0"/>
              <w:jc w:val="center"/>
              <w:textAlignment w:val="center"/>
              <w:rPr>
                <w:rFonts w:ascii="仿宋_GB2312" w:hAnsi="宋体" w:cs="仿宋"/>
                <w:color w:val="000000"/>
                <w:sz w:val="21"/>
                <w:szCs w:val="21"/>
              </w:rPr>
            </w:pPr>
            <w:r>
              <w:rPr>
                <w:rFonts w:ascii="仿宋_GB2312" w:hAnsi="宋体" w:cs="仿宋"/>
                <w:color w:val="000000"/>
                <w:kern w:val="0"/>
                <w:sz w:val="21"/>
                <w:szCs w:val="21"/>
                <w:lang w:bidi="ar"/>
              </w:rPr>
              <w:t>25</w:t>
            </w:r>
          </w:p>
        </w:tc>
        <w:tc>
          <w:tcPr>
            <w:tcW w:w="113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auto"/>
              <w:ind w:firstLine="0" w:firstLineChars="0"/>
              <w:jc w:val="center"/>
              <w:textAlignment w:val="center"/>
              <w:rPr>
                <w:rFonts w:ascii="仿宋_GB2312" w:hAnsi="宋体" w:cs="仿宋"/>
                <w:color w:val="000000"/>
                <w:sz w:val="21"/>
                <w:szCs w:val="21"/>
              </w:rPr>
            </w:pPr>
            <w:r>
              <w:rPr>
                <w:rFonts w:hint="eastAsia" w:ascii="仿宋_GB2312" w:hAnsi="宋体" w:cs="仿宋"/>
                <w:color w:val="000000"/>
                <w:kern w:val="0"/>
                <w:sz w:val="21"/>
                <w:szCs w:val="21"/>
                <w:lang w:bidi="ar"/>
              </w:rPr>
              <w:t>社会效益</w:t>
            </w:r>
          </w:p>
        </w:tc>
        <w:tc>
          <w:tcPr>
            <w:tcW w:w="85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auto"/>
              <w:ind w:firstLine="0" w:firstLineChars="0"/>
              <w:jc w:val="center"/>
              <w:textAlignment w:val="center"/>
              <w:rPr>
                <w:rFonts w:ascii="仿宋_GB2312" w:hAnsi="宋体" w:cs="仿宋"/>
                <w:color w:val="000000"/>
                <w:sz w:val="21"/>
                <w:szCs w:val="21"/>
              </w:rPr>
            </w:pPr>
            <w:r>
              <w:rPr>
                <w:rFonts w:ascii="仿宋_GB2312" w:hAnsi="宋体" w:cs="仿宋"/>
                <w:color w:val="000000"/>
                <w:kern w:val="0"/>
                <w:sz w:val="21"/>
                <w:szCs w:val="21"/>
                <w:lang w:bidi="ar"/>
              </w:rPr>
              <w:t>15</w:t>
            </w:r>
          </w:p>
        </w:tc>
        <w:tc>
          <w:tcPr>
            <w:tcW w:w="29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240" w:lineRule="auto"/>
              <w:ind w:firstLine="0" w:firstLineChars="0"/>
              <w:jc w:val="center"/>
              <w:textAlignment w:val="center"/>
              <w:rPr>
                <w:rFonts w:ascii="仿宋_GB2312" w:hAnsi="宋体" w:cs="仿宋"/>
                <w:color w:val="000000"/>
                <w:sz w:val="21"/>
                <w:szCs w:val="21"/>
              </w:rPr>
            </w:pPr>
            <w:r>
              <w:rPr>
                <w:rFonts w:hint="eastAsia" w:ascii="仿宋_GB2312" w:hAnsi="宋体" w:cs="仿宋"/>
                <w:color w:val="000000"/>
                <w:kern w:val="0"/>
                <w:sz w:val="21"/>
                <w:szCs w:val="21"/>
                <w:lang w:bidi="ar"/>
              </w:rPr>
              <w:t>全区集中核算单位系统覆盖率</w:t>
            </w:r>
          </w:p>
        </w:tc>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240" w:lineRule="auto"/>
              <w:ind w:firstLine="0" w:firstLineChars="0"/>
              <w:jc w:val="center"/>
              <w:textAlignment w:val="center"/>
              <w:rPr>
                <w:rFonts w:ascii="仿宋_GB2312" w:hAnsi="宋体" w:cs="仿宋"/>
                <w:color w:val="000000"/>
                <w:sz w:val="21"/>
                <w:szCs w:val="21"/>
              </w:rPr>
            </w:pPr>
            <w:r>
              <w:rPr>
                <w:rFonts w:ascii="仿宋_GB2312" w:hAnsi="宋体" w:cs="仿宋"/>
                <w:color w:val="000000"/>
                <w:sz w:val="21"/>
                <w:szCs w:val="21"/>
              </w:rPr>
              <w:t>7</w:t>
            </w:r>
          </w:p>
        </w:tc>
        <w:tc>
          <w:tcPr>
            <w:tcW w:w="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240" w:lineRule="auto"/>
              <w:ind w:firstLine="0" w:firstLineChars="0"/>
              <w:jc w:val="center"/>
              <w:textAlignment w:val="center"/>
              <w:rPr>
                <w:rFonts w:ascii="仿宋_GB2312" w:hAnsi="宋体" w:cs="仿宋"/>
                <w:color w:val="000000"/>
                <w:kern w:val="0"/>
                <w:sz w:val="21"/>
                <w:szCs w:val="21"/>
                <w:lang w:bidi="ar"/>
              </w:rPr>
            </w:pPr>
            <w:r>
              <w:rPr>
                <w:rFonts w:ascii="仿宋_GB2312" w:hAnsi="宋体" w:cs="仿宋"/>
                <w:color w:val="000000"/>
                <w:kern w:val="0"/>
                <w:sz w:val="21"/>
                <w:szCs w:val="21"/>
                <w:lang w:bidi="ar"/>
              </w:rPr>
              <w:t>7</w:t>
            </w:r>
          </w:p>
        </w:tc>
      </w:tr>
      <w:tr>
        <w:tblPrEx>
          <w:tblCellMar>
            <w:top w:w="0" w:type="dxa"/>
            <w:left w:w="108" w:type="dxa"/>
            <w:bottom w:w="0" w:type="dxa"/>
            <w:right w:w="108" w:type="dxa"/>
          </w:tblCellMar>
        </w:tblPrEx>
        <w:trPr>
          <w:trHeight w:val="23" w:hRule="atLeast"/>
        </w:trPr>
        <w:tc>
          <w:tcPr>
            <w:tcW w:w="8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auto"/>
              <w:ind w:firstLine="420"/>
              <w:jc w:val="center"/>
              <w:rPr>
                <w:rFonts w:ascii="仿宋_GB2312" w:hAnsi="宋体" w:cs="仿宋"/>
                <w:color w:val="000000"/>
                <w:sz w:val="21"/>
                <w:szCs w:val="21"/>
              </w:rPr>
            </w:pPr>
          </w:p>
        </w:tc>
        <w:tc>
          <w:tcPr>
            <w:tcW w:w="8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auto"/>
              <w:ind w:firstLine="420"/>
              <w:jc w:val="center"/>
              <w:rPr>
                <w:rFonts w:ascii="仿宋_GB2312" w:hAnsi="宋体" w:cs="仿宋"/>
                <w:color w:val="000000"/>
                <w:sz w:val="21"/>
                <w:szCs w:val="21"/>
              </w:rPr>
            </w:pPr>
          </w:p>
        </w:tc>
        <w:tc>
          <w:tcPr>
            <w:tcW w:w="11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auto"/>
              <w:ind w:firstLine="420"/>
              <w:jc w:val="center"/>
              <w:rPr>
                <w:rFonts w:ascii="仿宋_GB2312" w:hAnsi="宋体" w:cs="仿宋"/>
                <w:color w:val="000000"/>
                <w:sz w:val="21"/>
                <w:szCs w:val="21"/>
              </w:rPr>
            </w:pPr>
          </w:p>
        </w:tc>
        <w:tc>
          <w:tcPr>
            <w:tcW w:w="85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auto"/>
              <w:ind w:firstLine="420"/>
              <w:jc w:val="center"/>
              <w:rPr>
                <w:rFonts w:ascii="仿宋_GB2312" w:hAnsi="宋体" w:cs="仿宋"/>
                <w:color w:val="000000"/>
                <w:sz w:val="21"/>
                <w:szCs w:val="21"/>
              </w:rPr>
            </w:pPr>
          </w:p>
        </w:tc>
        <w:tc>
          <w:tcPr>
            <w:tcW w:w="29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240" w:lineRule="auto"/>
              <w:ind w:firstLine="0" w:firstLineChars="0"/>
              <w:jc w:val="center"/>
              <w:textAlignment w:val="center"/>
              <w:rPr>
                <w:rFonts w:ascii="仿宋_GB2312" w:hAnsi="宋体" w:cs="仿宋"/>
                <w:color w:val="000000"/>
                <w:sz w:val="21"/>
                <w:szCs w:val="21"/>
              </w:rPr>
            </w:pPr>
            <w:r>
              <w:rPr>
                <w:rFonts w:hint="eastAsia" w:ascii="仿宋_GB2312" w:hAnsi="宋体" w:cs="仿宋"/>
                <w:color w:val="000000"/>
                <w:kern w:val="0"/>
                <w:sz w:val="21"/>
                <w:szCs w:val="21"/>
                <w:lang w:bidi="ar"/>
              </w:rPr>
              <w:t>系统运维保障各项工作正常运转率</w:t>
            </w:r>
          </w:p>
        </w:tc>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240" w:lineRule="auto"/>
              <w:ind w:firstLine="0" w:firstLineChars="0"/>
              <w:jc w:val="center"/>
              <w:textAlignment w:val="center"/>
              <w:rPr>
                <w:rFonts w:ascii="仿宋_GB2312" w:hAnsi="宋体" w:cs="仿宋"/>
                <w:color w:val="000000"/>
                <w:sz w:val="21"/>
                <w:szCs w:val="21"/>
              </w:rPr>
            </w:pPr>
            <w:r>
              <w:rPr>
                <w:rFonts w:ascii="仿宋_GB2312" w:hAnsi="宋体" w:cs="仿宋"/>
                <w:color w:val="000000"/>
                <w:sz w:val="21"/>
                <w:szCs w:val="21"/>
              </w:rPr>
              <w:t>8</w:t>
            </w:r>
          </w:p>
        </w:tc>
        <w:tc>
          <w:tcPr>
            <w:tcW w:w="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240" w:lineRule="auto"/>
              <w:ind w:firstLine="0" w:firstLineChars="0"/>
              <w:jc w:val="center"/>
              <w:textAlignment w:val="center"/>
              <w:rPr>
                <w:rFonts w:ascii="仿宋_GB2312" w:hAnsi="宋体" w:cs="仿宋"/>
                <w:color w:val="000000"/>
                <w:kern w:val="0"/>
                <w:sz w:val="21"/>
                <w:szCs w:val="21"/>
                <w:lang w:bidi="ar"/>
              </w:rPr>
            </w:pPr>
            <w:r>
              <w:rPr>
                <w:rFonts w:ascii="仿宋_GB2312" w:hAnsi="宋体" w:cs="仿宋"/>
                <w:color w:val="000000"/>
                <w:kern w:val="0"/>
                <w:sz w:val="21"/>
                <w:szCs w:val="21"/>
                <w:lang w:bidi="ar"/>
              </w:rPr>
              <w:t>8</w:t>
            </w:r>
          </w:p>
        </w:tc>
      </w:tr>
      <w:tr>
        <w:tblPrEx>
          <w:tblCellMar>
            <w:top w:w="0" w:type="dxa"/>
            <w:left w:w="108" w:type="dxa"/>
            <w:bottom w:w="0" w:type="dxa"/>
            <w:right w:w="108" w:type="dxa"/>
          </w:tblCellMar>
        </w:tblPrEx>
        <w:trPr>
          <w:trHeight w:val="23" w:hRule="atLeast"/>
        </w:trPr>
        <w:tc>
          <w:tcPr>
            <w:tcW w:w="8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auto"/>
              <w:ind w:firstLine="420"/>
              <w:jc w:val="center"/>
              <w:rPr>
                <w:rFonts w:ascii="仿宋_GB2312" w:hAnsi="宋体" w:cs="仿宋"/>
                <w:color w:val="000000"/>
                <w:sz w:val="21"/>
                <w:szCs w:val="21"/>
              </w:rPr>
            </w:pPr>
          </w:p>
        </w:tc>
        <w:tc>
          <w:tcPr>
            <w:tcW w:w="8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auto"/>
              <w:ind w:firstLine="420"/>
              <w:jc w:val="center"/>
              <w:rPr>
                <w:rFonts w:ascii="仿宋_GB2312" w:hAnsi="宋体" w:cs="仿宋"/>
                <w:color w:val="000000"/>
                <w:sz w:val="21"/>
                <w:szCs w:val="21"/>
              </w:rPr>
            </w:pPr>
          </w:p>
        </w:tc>
        <w:tc>
          <w:tcPr>
            <w:tcW w:w="1134" w:type="dxa"/>
            <w:tcBorders>
              <w:top w:val="single" w:color="000000" w:sz="4" w:space="0"/>
              <w:left w:val="single" w:color="000000" w:sz="4" w:space="0"/>
              <w:bottom w:val="nil"/>
              <w:right w:val="single" w:color="000000" w:sz="4" w:space="0"/>
            </w:tcBorders>
            <w:shd w:val="clear" w:color="auto" w:fill="auto"/>
            <w:vAlign w:val="center"/>
          </w:tcPr>
          <w:p>
            <w:pPr>
              <w:widowControl/>
              <w:spacing w:line="240" w:lineRule="auto"/>
              <w:ind w:firstLine="0" w:firstLineChars="0"/>
              <w:jc w:val="center"/>
              <w:textAlignment w:val="center"/>
              <w:rPr>
                <w:rFonts w:ascii="仿宋_GB2312" w:hAnsi="宋体" w:cs="仿宋"/>
                <w:color w:val="000000"/>
                <w:sz w:val="21"/>
                <w:szCs w:val="21"/>
              </w:rPr>
            </w:pPr>
            <w:r>
              <w:rPr>
                <w:rFonts w:hint="eastAsia" w:ascii="仿宋_GB2312" w:hAnsi="宋体" w:cs="仿宋"/>
                <w:color w:val="000000"/>
                <w:kern w:val="0"/>
                <w:sz w:val="21"/>
                <w:szCs w:val="21"/>
                <w:lang w:bidi="ar"/>
              </w:rPr>
              <w:t>满意度</w:t>
            </w:r>
          </w:p>
        </w:tc>
        <w:tc>
          <w:tcPr>
            <w:tcW w:w="851" w:type="dxa"/>
            <w:tcBorders>
              <w:top w:val="single" w:color="000000" w:sz="4" w:space="0"/>
              <w:left w:val="single" w:color="000000" w:sz="4" w:space="0"/>
              <w:bottom w:val="nil"/>
              <w:right w:val="single" w:color="000000" w:sz="4" w:space="0"/>
            </w:tcBorders>
            <w:shd w:val="clear" w:color="auto" w:fill="auto"/>
            <w:vAlign w:val="center"/>
          </w:tcPr>
          <w:p>
            <w:pPr>
              <w:widowControl/>
              <w:spacing w:line="240" w:lineRule="auto"/>
              <w:ind w:firstLine="0" w:firstLineChars="0"/>
              <w:jc w:val="center"/>
              <w:textAlignment w:val="center"/>
              <w:rPr>
                <w:rFonts w:ascii="仿宋_GB2312" w:hAnsi="宋体" w:cs="仿宋"/>
                <w:color w:val="000000"/>
                <w:sz w:val="21"/>
                <w:szCs w:val="21"/>
              </w:rPr>
            </w:pPr>
            <w:r>
              <w:rPr>
                <w:rFonts w:ascii="仿宋_GB2312" w:hAnsi="宋体" w:cs="仿宋"/>
                <w:color w:val="000000"/>
                <w:kern w:val="0"/>
                <w:sz w:val="21"/>
                <w:szCs w:val="21"/>
                <w:lang w:bidi="ar"/>
              </w:rPr>
              <w:t>10</w:t>
            </w:r>
          </w:p>
        </w:tc>
        <w:tc>
          <w:tcPr>
            <w:tcW w:w="29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240" w:lineRule="auto"/>
              <w:ind w:firstLine="0" w:firstLineChars="0"/>
              <w:jc w:val="center"/>
              <w:textAlignment w:val="center"/>
              <w:rPr>
                <w:rFonts w:ascii="仿宋_GB2312" w:hAnsi="宋体" w:cs="仿宋"/>
                <w:color w:val="000000"/>
                <w:sz w:val="21"/>
                <w:szCs w:val="21"/>
              </w:rPr>
            </w:pPr>
            <w:r>
              <w:rPr>
                <w:rFonts w:hint="eastAsia" w:ascii="仿宋_GB2312" w:hAnsi="宋体" w:cs="仿宋"/>
                <w:color w:val="000000"/>
                <w:kern w:val="0"/>
                <w:sz w:val="21"/>
                <w:szCs w:val="21"/>
                <w:lang w:bidi="ar"/>
              </w:rPr>
              <w:t>系统使用人员满意度</w:t>
            </w:r>
          </w:p>
        </w:tc>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240" w:lineRule="auto"/>
              <w:ind w:firstLine="0" w:firstLineChars="0"/>
              <w:jc w:val="center"/>
              <w:textAlignment w:val="center"/>
              <w:rPr>
                <w:rFonts w:ascii="仿宋_GB2312" w:hAnsi="宋体" w:cs="仿宋"/>
                <w:color w:val="000000"/>
                <w:sz w:val="21"/>
                <w:szCs w:val="21"/>
              </w:rPr>
            </w:pPr>
            <w:r>
              <w:rPr>
                <w:rFonts w:ascii="仿宋_GB2312" w:hAnsi="宋体" w:cs="仿宋"/>
                <w:color w:val="000000"/>
                <w:kern w:val="0"/>
                <w:sz w:val="21"/>
                <w:szCs w:val="21"/>
                <w:lang w:bidi="ar"/>
              </w:rPr>
              <w:t>10</w:t>
            </w:r>
          </w:p>
        </w:tc>
        <w:tc>
          <w:tcPr>
            <w:tcW w:w="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240" w:lineRule="auto"/>
              <w:ind w:firstLine="0" w:firstLineChars="0"/>
              <w:jc w:val="center"/>
              <w:textAlignment w:val="center"/>
              <w:rPr>
                <w:rFonts w:ascii="仿宋_GB2312" w:hAnsi="宋体" w:cs="仿宋"/>
                <w:color w:val="000000"/>
                <w:kern w:val="0"/>
                <w:sz w:val="21"/>
                <w:szCs w:val="21"/>
                <w:lang w:bidi="ar"/>
              </w:rPr>
            </w:pPr>
            <w:r>
              <w:rPr>
                <w:rFonts w:ascii="仿宋_GB2312" w:hAnsi="宋体" w:cs="仿宋"/>
                <w:color w:val="000000"/>
                <w:kern w:val="0"/>
                <w:sz w:val="21"/>
                <w:szCs w:val="21"/>
                <w:lang w:bidi="ar"/>
              </w:rPr>
              <w:t>9.15</w:t>
            </w:r>
          </w:p>
        </w:tc>
      </w:tr>
      <w:tr>
        <w:tblPrEx>
          <w:tblCellMar>
            <w:top w:w="0" w:type="dxa"/>
            <w:left w:w="108" w:type="dxa"/>
            <w:bottom w:w="0" w:type="dxa"/>
            <w:right w:w="108" w:type="dxa"/>
          </w:tblCellMar>
        </w:tblPrEx>
        <w:trPr>
          <w:trHeight w:val="371" w:hRule="atLeast"/>
        </w:trPr>
        <w:tc>
          <w:tcPr>
            <w:tcW w:w="8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240" w:lineRule="auto"/>
              <w:ind w:firstLine="0" w:firstLineChars="0"/>
              <w:jc w:val="center"/>
              <w:textAlignment w:val="center"/>
              <w:rPr>
                <w:rFonts w:ascii="仿宋_GB2312" w:hAnsi="宋体" w:cs="仿宋"/>
                <w:color w:val="000000"/>
                <w:sz w:val="21"/>
                <w:szCs w:val="21"/>
              </w:rPr>
            </w:pPr>
            <w:r>
              <w:rPr>
                <w:rFonts w:hint="eastAsia" w:ascii="仿宋_GB2312" w:hAnsi="宋体" w:cs="仿宋"/>
                <w:color w:val="000000"/>
                <w:kern w:val="0"/>
                <w:sz w:val="21"/>
                <w:szCs w:val="21"/>
                <w:lang w:bidi="ar"/>
              </w:rPr>
              <w:t>总分</w:t>
            </w:r>
          </w:p>
        </w:tc>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240" w:lineRule="auto"/>
              <w:ind w:firstLine="0" w:firstLineChars="0"/>
              <w:jc w:val="center"/>
              <w:textAlignment w:val="center"/>
              <w:rPr>
                <w:rFonts w:ascii="仿宋_GB2312" w:hAnsi="宋体" w:cs="仿宋"/>
                <w:color w:val="000000"/>
                <w:sz w:val="21"/>
                <w:szCs w:val="21"/>
              </w:rPr>
            </w:pPr>
            <w:r>
              <w:rPr>
                <w:rFonts w:ascii="仿宋_GB2312" w:hAnsi="宋体" w:cs="仿宋"/>
                <w:color w:val="000000"/>
                <w:kern w:val="0"/>
                <w:sz w:val="21"/>
                <w:szCs w:val="21"/>
                <w:lang w:bidi="ar"/>
              </w:rPr>
              <w:t>100</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ind w:firstLine="420"/>
              <w:jc w:val="center"/>
              <w:rPr>
                <w:rFonts w:ascii="仿宋_GB2312" w:hAnsi="宋体" w:cs="仿宋"/>
                <w:color w:val="000000"/>
                <w:sz w:val="21"/>
                <w:szCs w:val="21"/>
              </w:rPr>
            </w:pPr>
          </w:p>
        </w:tc>
        <w:tc>
          <w:tcPr>
            <w:tcW w:w="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240" w:lineRule="auto"/>
              <w:ind w:firstLine="0" w:firstLineChars="0"/>
              <w:jc w:val="center"/>
              <w:textAlignment w:val="center"/>
              <w:rPr>
                <w:rFonts w:ascii="仿宋_GB2312" w:hAnsi="宋体" w:cs="仿宋"/>
                <w:color w:val="000000"/>
                <w:sz w:val="21"/>
                <w:szCs w:val="21"/>
              </w:rPr>
            </w:pPr>
            <w:r>
              <w:rPr>
                <w:rFonts w:ascii="仿宋_GB2312" w:hAnsi="宋体" w:cs="仿宋"/>
                <w:color w:val="000000"/>
                <w:kern w:val="0"/>
                <w:sz w:val="21"/>
                <w:szCs w:val="21"/>
                <w:lang w:bidi="ar"/>
              </w:rPr>
              <w:t>100</w:t>
            </w:r>
          </w:p>
        </w:tc>
        <w:tc>
          <w:tcPr>
            <w:tcW w:w="29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auto"/>
              <w:ind w:firstLine="420"/>
              <w:jc w:val="center"/>
              <w:rPr>
                <w:rFonts w:ascii="仿宋_GB2312" w:hAnsi="宋体" w:cs="仿宋"/>
                <w:color w:val="000000"/>
                <w:sz w:val="21"/>
                <w:szCs w:val="21"/>
              </w:rPr>
            </w:pPr>
          </w:p>
        </w:tc>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240" w:lineRule="auto"/>
              <w:ind w:firstLine="0" w:firstLineChars="0"/>
              <w:jc w:val="center"/>
              <w:textAlignment w:val="center"/>
              <w:rPr>
                <w:rFonts w:ascii="仿宋_GB2312" w:hAnsi="宋体" w:cs="仿宋"/>
                <w:color w:val="000000"/>
                <w:sz w:val="21"/>
                <w:szCs w:val="21"/>
              </w:rPr>
            </w:pPr>
            <w:r>
              <w:rPr>
                <w:rFonts w:ascii="仿宋_GB2312" w:hAnsi="宋体" w:cs="仿宋"/>
                <w:color w:val="000000"/>
                <w:kern w:val="0"/>
                <w:sz w:val="21"/>
                <w:szCs w:val="21"/>
                <w:lang w:bidi="ar"/>
              </w:rPr>
              <w:t>100</w:t>
            </w:r>
          </w:p>
        </w:tc>
        <w:tc>
          <w:tcPr>
            <w:tcW w:w="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240" w:lineRule="auto"/>
              <w:ind w:firstLine="0" w:firstLineChars="0"/>
              <w:jc w:val="center"/>
              <w:textAlignment w:val="center"/>
              <w:rPr>
                <w:rFonts w:ascii="仿宋_GB2312" w:hAnsi="宋体" w:cs="仿宋"/>
                <w:color w:val="000000"/>
                <w:kern w:val="0"/>
                <w:sz w:val="21"/>
                <w:szCs w:val="21"/>
                <w:lang w:bidi="ar"/>
              </w:rPr>
            </w:pPr>
            <w:r>
              <w:rPr>
                <w:rFonts w:ascii="仿宋_GB2312" w:hAnsi="宋体" w:cs="仿宋"/>
                <w:color w:val="000000"/>
                <w:kern w:val="0"/>
                <w:sz w:val="21"/>
                <w:szCs w:val="21"/>
                <w:lang w:bidi="ar"/>
              </w:rPr>
              <w:t>95.59</w:t>
            </w:r>
          </w:p>
        </w:tc>
      </w:tr>
    </w:tbl>
    <w:p>
      <w:pPr>
        <w:ind w:firstLine="640"/>
        <w:jc w:val="left"/>
        <w:outlineLvl w:val="0"/>
        <w:rPr>
          <w:rFonts w:eastAsia="黑体"/>
          <w:szCs w:val="32"/>
        </w:rPr>
      </w:pPr>
      <w:bookmarkStart w:id="19" w:name="_Toc75354559"/>
      <w:bookmarkStart w:id="20" w:name="_Toc111637880"/>
      <w:r>
        <w:rPr>
          <w:rFonts w:hint="eastAsia" w:eastAsia="黑体"/>
          <w:szCs w:val="32"/>
        </w:rPr>
        <w:t>四、绩效评价指标分析</w:t>
      </w:r>
      <w:bookmarkEnd w:id="19"/>
      <w:bookmarkEnd w:id="20"/>
    </w:p>
    <w:p>
      <w:pPr>
        <w:pStyle w:val="2"/>
        <w:ind w:firstLine="643"/>
        <w:rPr>
          <w:rFonts w:eastAsia="楷体_GB2312"/>
          <w:b/>
          <w:szCs w:val="40"/>
        </w:rPr>
      </w:pPr>
      <w:bookmarkStart w:id="21" w:name="_Toc75354560"/>
      <w:bookmarkStart w:id="22" w:name="_Toc111637881"/>
      <w:r>
        <w:rPr>
          <w:rFonts w:hint="eastAsia" w:eastAsia="楷体_GB2312"/>
          <w:b/>
          <w:szCs w:val="40"/>
        </w:rPr>
        <w:t>（一）项目决策</w:t>
      </w:r>
      <w:bookmarkEnd w:id="21"/>
      <w:bookmarkEnd w:id="22"/>
    </w:p>
    <w:p>
      <w:pPr>
        <w:ind w:firstLine="640"/>
        <w:rPr>
          <w:rFonts w:ascii="仿宋_GB2312"/>
          <w:szCs w:val="40"/>
        </w:rPr>
      </w:pPr>
      <w:r>
        <w:rPr>
          <w:rFonts w:hint="eastAsia" w:ascii="仿宋_GB2312"/>
          <w:szCs w:val="40"/>
        </w:rPr>
        <w:t>该指标主要考核项目的立项依据、绩效目标及资金投入情况。该指标满分</w:t>
      </w:r>
      <w:r>
        <w:rPr>
          <w:rFonts w:ascii="仿宋_GB2312"/>
          <w:szCs w:val="40"/>
        </w:rPr>
        <w:t>20分，得分20分，得分率100%。</w:t>
      </w:r>
    </w:p>
    <w:p>
      <w:pPr>
        <w:pStyle w:val="4"/>
        <w:ind w:firstLine="643"/>
        <w:rPr>
          <w:rFonts w:ascii="仿宋_GB2312"/>
        </w:rPr>
      </w:pPr>
      <w:bookmarkStart w:id="23" w:name="_Toc111637882"/>
      <w:r>
        <w:rPr>
          <w:rFonts w:hint="eastAsia" w:ascii="仿宋_GB2312"/>
        </w:rPr>
        <w:t>1.项目立项情况（满分6分，得分6分）</w:t>
      </w:r>
      <w:bookmarkEnd w:id="23"/>
    </w:p>
    <w:p>
      <w:pPr>
        <w:ind w:firstLine="643"/>
        <w:rPr>
          <w:szCs w:val="40"/>
        </w:rPr>
      </w:pPr>
      <w:bookmarkStart w:id="24" w:name="_Hlk82767840"/>
      <w:r>
        <w:rPr>
          <w:rFonts w:hint="eastAsia"/>
          <w:b/>
          <w:bCs/>
          <w:szCs w:val="40"/>
        </w:rPr>
        <w:t>一是立项依据充分性。</w:t>
      </w:r>
      <w:r>
        <w:rPr>
          <w:rFonts w:hint="eastAsia"/>
          <w:szCs w:val="40"/>
        </w:rPr>
        <w:t>经充分了解，</w:t>
      </w:r>
      <w:r>
        <w:rPr>
          <w:rFonts w:hint="eastAsia" w:ascii="仿宋_GB2312"/>
        </w:rPr>
        <w:t>“信息系统维护”项目为中心经常性延续项目，项目立项为中心履职所需</w:t>
      </w:r>
      <w:r>
        <w:rPr>
          <w:rFonts w:hint="eastAsia"/>
          <w:szCs w:val="40"/>
        </w:rPr>
        <w:t>；且项目资金属于公共财政支出范围，符合区财政局、中心事权支出责任划分原则；项目与相关部门同类项目及部门内部相关项目均不存在重复。项目立项依据充分，具有现实必要性。</w:t>
      </w:r>
    </w:p>
    <w:p>
      <w:pPr>
        <w:ind w:firstLine="643"/>
        <w:rPr>
          <w:rFonts w:ascii="仿宋_GB2312"/>
        </w:rPr>
      </w:pPr>
      <w:r>
        <w:rPr>
          <w:rFonts w:hint="eastAsia"/>
          <w:b/>
          <w:bCs/>
          <w:szCs w:val="40"/>
        </w:rPr>
        <w:t>二是立项程序规范性。</w:t>
      </w:r>
      <w:r>
        <w:rPr>
          <w:rFonts w:hint="eastAsia"/>
          <w:szCs w:val="40"/>
        </w:rPr>
        <w:t>在部门内部及单位层面决策过程中，本项目由中心办公室具体负责组织实施，根据中心年度工作计划，编制项目预算，明确项目绩效目标，并履行报批程序；且严格按照中心有关项目立项的规定和程序进行集体决策设立，项目立项的审批文件、材料充分且，符合区财政局有关项目申报规定的程序和要求。</w:t>
      </w:r>
      <w:bookmarkEnd w:id="24"/>
    </w:p>
    <w:p>
      <w:pPr>
        <w:pStyle w:val="4"/>
        <w:ind w:firstLine="643"/>
        <w:rPr>
          <w:rFonts w:ascii="仿宋_GB2312"/>
        </w:rPr>
      </w:pPr>
      <w:bookmarkStart w:id="25" w:name="_Toc75354562"/>
      <w:bookmarkStart w:id="26" w:name="_Toc111637883"/>
      <w:r>
        <w:rPr>
          <w:rFonts w:hint="eastAsia" w:ascii="仿宋_GB2312"/>
        </w:rPr>
        <w:t>2</w:t>
      </w:r>
      <w:r>
        <w:rPr>
          <w:rFonts w:ascii="仿宋_GB2312"/>
        </w:rPr>
        <w:t>.</w:t>
      </w:r>
      <w:r>
        <w:rPr>
          <w:rFonts w:hint="eastAsia" w:ascii="仿宋_GB2312"/>
        </w:rPr>
        <w:t>绩效目标情况</w:t>
      </w:r>
      <w:bookmarkEnd w:id="25"/>
      <w:r>
        <w:rPr>
          <w:rFonts w:hint="eastAsia" w:ascii="仿宋_GB2312"/>
        </w:rPr>
        <w:t>（满分8分，得分8分）</w:t>
      </w:r>
      <w:bookmarkEnd w:id="26"/>
    </w:p>
    <w:p>
      <w:pPr>
        <w:ind w:firstLine="643"/>
      </w:pPr>
      <w:r>
        <w:rPr>
          <w:rFonts w:hint="eastAsia"/>
          <w:b/>
          <w:bCs/>
        </w:rPr>
        <w:t>一是绩效目标合理性。</w:t>
      </w:r>
      <w:r>
        <w:rPr>
          <w:rFonts w:hint="eastAsia" w:ascii="仿宋_GB2312"/>
        </w:rPr>
        <w:t>“信息系统维护”项目</w:t>
      </w:r>
      <w:r>
        <w:rPr>
          <w:rFonts w:hint="eastAsia"/>
        </w:rPr>
        <w:t>严格按照区政局预算指标设定有关要求，完整设定年度绩效目标，设定“系统维护数量”、“系统验收合格率”、“故障排除率”等与项目工作匹配度较高的绩效指标，结合项目测算内容，合理设定指标目标值。</w:t>
      </w:r>
    </w:p>
    <w:p>
      <w:pPr>
        <w:ind w:firstLine="643"/>
      </w:pPr>
      <w:r>
        <w:rPr>
          <w:rFonts w:hint="eastAsia"/>
          <w:b/>
          <w:bCs/>
        </w:rPr>
        <w:t>二是绩效指标明确性。</w:t>
      </w:r>
      <w:r>
        <w:rPr>
          <w:rFonts w:hint="eastAsia"/>
        </w:rPr>
        <w:t>根据项目年度总体目标，“</w:t>
      </w:r>
      <w:r>
        <w:rPr>
          <w:rFonts w:hint="eastAsia" w:ascii="仿宋_GB2312"/>
        </w:rPr>
        <w:t>信息系统维护”</w:t>
      </w:r>
      <w:r>
        <w:rPr>
          <w:rFonts w:hint="eastAsia"/>
        </w:rPr>
        <w:t>项目绩效目标全面细化分解为数量、质量、时效、可持续性影响、服务对象满意度指标等具体三级绩效指标，各类绩效指标均较为清晰，其中可衡量的指标值予以量化体现，难以量化的指标如三级指标“可持续影响”采用了定性表达的方式，指标内容为支撑政府会计制度改革，该指标值设定与单位工作目标挂钩，做到了绩效指标设定完整、科学、可衡量，绩效指标明确</w:t>
      </w:r>
      <w:r>
        <w:t>。</w:t>
      </w:r>
    </w:p>
    <w:p>
      <w:pPr>
        <w:pStyle w:val="4"/>
        <w:ind w:firstLine="643"/>
        <w:rPr>
          <w:rFonts w:ascii="仿宋_GB2312"/>
        </w:rPr>
      </w:pPr>
      <w:bookmarkStart w:id="27" w:name="_Toc111637884"/>
      <w:r>
        <w:rPr>
          <w:rFonts w:ascii="仿宋_GB2312"/>
        </w:rPr>
        <w:t>3.</w:t>
      </w:r>
      <w:r>
        <w:rPr>
          <w:rFonts w:hint="eastAsia" w:ascii="仿宋_GB2312"/>
        </w:rPr>
        <w:t>资金投入情况（满分6分，得分6分）</w:t>
      </w:r>
      <w:bookmarkEnd w:id="27"/>
    </w:p>
    <w:p>
      <w:pPr>
        <w:ind w:firstLine="643"/>
        <w:rPr>
          <w:szCs w:val="40"/>
        </w:rPr>
      </w:pPr>
      <w:r>
        <w:rPr>
          <w:rFonts w:hint="eastAsia"/>
          <w:b/>
          <w:bCs/>
        </w:rPr>
        <w:t>一是预算编制科学性</w:t>
      </w:r>
      <w:r>
        <w:rPr>
          <w:rFonts w:hint="eastAsia"/>
          <w:szCs w:val="40"/>
        </w:rPr>
        <w:t>。</w:t>
      </w:r>
      <w:r>
        <w:rPr>
          <w:rFonts w:hint="eastAsia" w:ascii="仿宋_GB2312"/>
          <w:szCs w:val="40"/>
        </w:rPr>
        <w:t>2021年</w:t>
      </w:r>
      <w:r>
        <w:rPr>
          <w:rFonts w:hint="eastAsia"/>
          <w:szCs w:val="40"/>
        </w:rPr>
        <w:t>度，“</w:t>
      </w:r>
      <w:r>
        <w:rPr>
          <w:rFonts w:hint="eastAsia" w:ascii="仿宋_GB2312"/>
        </w:rPr>
        <w:t>信息系统维护”</w:t>
      </w:r>
      <w:r>
        <w:rPr>
          <w:rFonts w:hint="eastAsia"/>
          <w:szCs w:val="40"/>
        </w:rPr>
        <w:t>项目能够严格按照区财政局国库支付中心关于预算编制的规范和要求及项目实际编制，预算内容与项目内容基本相匹配，预算确定的资金量与工作计划基本相匹配，预算额度能够结合以前年度项目投入资金量、市场参考价、外部政策要求等进行综合测算，预算编制科学合理。</w:t>
      </w:r>
    </w:p>
    <w:p>
      <w:pPr>
        <w:ind w:firstLine="643"/>
        <w:rPr>
          <w:szCs w:val="40"/>
        </w:rPr>
      </w:pPr>
      <w:bookmarkStart w:id="28" w:name="_Hlk82768577"/>
      <w:r>
        <w:rPr>
          <w:rFonts w:hint="eastAsia"/>
          <w:b/>
          <w:bCs/>
        </w:rPr>
        <w:t>二是资金分配合理性。</w:t>
      </w:r>
      <w:bookmarkEnd w:id="28"/>
      <w:r>
        <w:rPr>
          <w:rFonts w:hint="eastAsia"/>
          <w:szCs w:val="40"/>
        </w:rPr>
        <w:t>中心年度预算资金分配主要按照区财政局有关方针政策和工作要求，结合项目资金测算及工作安排，项目资金分配额度合理，项目年中执行不存在资金频繁调剂情况，项目支出进度良好、完成效率较高。</w:t>
      </w:r>
    </w:p>
    <w:p>
      <w:pPr>
        <w:pStyle w:val="2"/>
        <w:ind w:firstLine="643"/>
        <w:rPr>
          <w:rFonts w:eastAsia="楷体_GB2312"/>
          <w:b/>
          <w:szCs w:val="40"/>
        </w:rPr>
      </w:pPr>
      <w:bookmarkStart w:id="29" w:name="_Toc111637885"/>
      <w:r>
        <w:rPr>
          <w:rFonts w:hint="eastAsia" w:eastAsia="楷体_GB2312"/>
          <w:b/>
          <w:szCs w:val="40"/>
        </w:rPr>
        <w:t>（二）项目过程</w:t>
      </w:r>
      <w:bookmarkEnd w:id="29"/>
    </w:p>
    <w:p>
      <w:pPr>
        <w:ind w:firstLine="640"/>
        <w:rPr>
          <w:rFonts w:ascii="仿宋_GB2312"/>
          <w:szCs w:val="40"/>
        </w:rPr>
      </w:pPr>
      <w:r>
        <w:rPr>
          <w:rFonts w:hint="eastAsia" w:ascii="仿宋_GB2312"/>
          <w:szCs w:val="40"/>
        </w:rPr>
        <w:t>该指标主要考核项目资金管理及项目组织实施情况。该指标满分</w:t>
      </w:r>
      <w:r>
        <w:rPr>
          <w:rFonts w:ascii="仿宋_GB2312"/>
          <w:szCs w:val="40"/>
        </w:rPr>
        <w:t>20分，得分19.48分，得分率97.40%。</w:t>
      </w:r>
    </w:p>
    <w:p>
      <w:pPr>
        <w:pStyle w:val="4"/>
        <w:ind w:firstLine="643"/>
        <w:rPr>
          <w:rFonts w:ascii="仿宋_GB2312"/>
        </w:rPr>
      </w:pPr>
      <w:bookmarkStart w:id="30" w:name="_Toc111637886"/>
      <w:r>
        <w:rPr>
          <w:rFonts w:ascii="仿宋_GB2312"/>
        </w:rPr>
        <w:t>1.</w:t>
      </w:r>
      <w:r>
        <w:rPr>
          <w:rFonts w:hint="eastAsia" w:ascii="仿宋_GB2312"/>
        </w:rPr>
        <w:t>资金管理情况（满分</w:t>
      </w:r>
      <w:r>
        <w:rPr>
          <w:rFonts w:ascii="仿宋_GB2312"/>
        </w:rPr>
        <w:t>12</w:t>
      </w:r>
      <w:r>
        <w:rPr>
          <w:rFonts w:hint="eastAsia" w:ascii="仿宋_GB2312"/>
        </w:rPr>
        <w:t>分，得分</w:t>
      </w:r>
      <w:r>
        <w:rPr>
          <w:rFonts w:ascii="仿宋_GB2312"/>
        </w:rPr>
        <w:t>11.98</w:t>
      </w:r>
      <w:r>
        <w:rPr>
          <w:rFonts w:hint="eastAsia" w:ascii="仿宋_GB2312"/>
        </w:rPr>
        <w:t>分）</w:t>
      </w:r>
      <w:bookmarkEnd w:id="30"/>
    </w:p>
    <w:p>
      <w:pPr>
        <w:ind w:firstLine="643"/>
        <w:rPr>
          <w:rFonts w:ascii="仿宋_GB2312"/>
        </w:rPr>
      </w:pPr>
      <w:r>
        <w:rPr>
          <w:rFonts w:hint="eastAsia"/>
          <w:b/>
          <w:bCs/>
        </w:rPr>
        <w:t>一是资金到位率</w:t>
      </w:r>
      <w:r>
        <w:rPr>
          <w:rFonts w:hint="eastAsia" w:ascii="仿宋_GB2312"/>
        </w:rPr>
        <w:t>。20</w:t>
      </w:r>
      <w:r>
        <w:rPr>
          <w:rFonts w:ascii="仿宋_GB2312"/>
        </w:rPr>
        <w:t>2</w:t>
      </w:r>
      <w:r>
        <w:rPr>
          <w:rFonts w:hint="eastAsia" w:ascii="仿宋_GB2312"/>
        </w:rPr>
        <w:t>1年度，“信息系统维护”项目全年预算数为43.</w:t>
      </w:r>
      <w:r>
        <w:rPr>
          <w:rFonts w:ascii="仿宋_GB2312"/>
        </w:rPr>
        <w:t>90</w:t>
      </w:r>
      <w:r>
        <w:rPr>
          <w:rFonts w:hint="eastAsia" w:ascii="仿宋_GB2312"/>
        </w:rPr>
        <w:t>万元，实际到位资金43.</w:t>
      </w:r>
      <w:r>
        <w:rPr>
          <w:rFonts w:ascii="仿宋_GB2312"/>
        </w:rPr>
        <w:t>90</w:t>
      </w:r>
      <w:r>
        <w:rPr>
          <w:rFonts w:hint="eastAsia" w:ascii="仿宋_GB2312"/>
        </w:rPr>
        <w:t>万元。</w:t>
      </w:r>
      <w:r>
        <w:rPr>
          <w:rFonts w:hint="eastAsia" w:ascii="仿宋_GB2312" w:hAnsi="仿宋_GB2312"/>
        </w:rPr>
        <w:t>中心遵循专款专用的财务工作原则，将资金全部落实到项目中，资金到位率为1</w:t>
      </w:r>
      <w:r>
        <w:rPr>
          <w:rFonts w:ascii="仿宋_GB2312" w:hAnsi="仿宋_GB2312"/>
        </w:rPr>
        <w:t>00%</w:t>
      </w:r>
      <w:r>
        <w:rPr>
          <w:rFonts w:hint="eastAsia" w:ascii="仿宋_GB2312" w:hAnsi="仿宋_GB2312"/>
        </w:rPr>
        <w:t>，资金到位及时充足，对项目实施的总体保障程度较高。</w:t>
      </w:r>
    </w:p>
    <w:p>
      <w:pPr>
        <w:ind w:firstLine="643"/>
        <w:rPr>
          <w:rFonts w:ascii="仿宋_GB2312"/>
        </w:rPr>
      </w:pPr>
      <w:r>
        <w:rPr>
          <w:rFonts w:hint="eastAsia"/>
          <w:b/>
          <w:bCs/>
        </w:rPr>
        <w:t>二是预算执行率。</w:t>
      </w:r>
      <w:r>
        <w:rPr>
          <w:rFonts w:hint="eastAsia" w:ascii="仿宋_GB2312"/>
        </w:rPr>
        <w:t>20</w:t>
      </w:r>
      <w:r>
        <w:rPr>
          <w:rFonts w:ascii="仿宋_GB2312"/>
        </w:rPr>
        <w:t>2</w:t>
      </w:r>
      <w:r>
        <w:rPr>
          <w:rFonts w:hint="eastAsia" w:ascii="仿宋_GB2312"/>
        </w:rPr>
        <w:t>1年度，“信息系统维护”项目实际支出为43.68万元，预算执行率</w:t>
      </w:r>
      <w:r>
        <w:rPr>
          <w:rFonts w:ascii="仿宋_GB2312"/>
        </w:rPr>
        <w:t>99.50%</w:t>
      </w:r>
      <w:r>
        <w:rPr>
          <w:rFonts w:hint="eastAsia" w:ascii="仿宋_GB2312"/>
        </w:rPr>
        <w:t>，预算执行情况较好。</w:t>
      </w:r>
    </w:p>
    <w:p>
      <w:pPr>
        <w:ind w:firstLine="643"/>
        <w:rPr>
          <w:rFonts w:ascii="仿宋_GB2312"/>
        </w:rPr>
      </w:pPr>
      <w:r>
        <w:rPr>
          <w:rFonts w:hint="eastAsia"/>
          <w:b/>
          <w:bCs/>
        </w:rPr>
        <w:t>三是</w:t>
      </w:r>
      <w:bookmarkStart w:id="31" w:name="_Hlk82786092"/>
      <w:r>
        <w:rPr>
          <w:rFonts w:hint="eastAsia"/>
          <w:b/>
          <w:bCs/>
        </w:rPr>
        <w:t>资金使用合规性</w:t>
      </w:r>
      <w:bookmarkEnd w:id="31"/>
      <w:r>
        <w:rPr>
          <w:rFonts w:hint="eastAsia"/>
          <w:b/>
          <w:bCs/>
        </w:rPr>
        <w:t>。</w:t>
      </w:r>
      <w:r>
        <w:rPr>
          <w:rFonts w:hint="eastAsia" w:ascii="仿宋_GB2312"/>
        </w:rPr>
        <w:t>项目资金管理符合《深圳市福田区国库支付中心工作制度汇编》中的财务管理规定，项目严格按照中心年度部门预算批复执行，资金使用合理、规范、透明，无超范围、超标准支出，不存在截留、挤占、挪用项目资金情况。</w:t>
      </w:r>
    </w:p>
    <w:p>
      <w:pPr>
        <w:pStyle w:val="4"/>
        <w:ind w:firstLine="643"/>
        <w:rPr>
          <w:rFonts w:ascii="仿宋_GB2312"/>
        </w:rPr>
      </w:pPr>
      <w:bookmarkStart w:id="32" w:name="_Toc111637887"/>
      <w:r>
        <w:rPr>
          <w:rFonts w:hint="eastAsia" w:ascii="仿宋_GB2312"/>
        </w:rPr>
        <w:t>2</w:t>
      </w:r>
      <w:r>
        <w:rPr>
          <w:rFonts w:ascii="仿宋_GB2312"/>
        </w:rPr>
        <w:t>.</w:t>
      </w:r>
      <w:r>
        <w:rPr>
          <w:rFonts w:hint="eastAsia" w:ascii="仿宋_GB2312"/>
        </w:rPr>
        <w:t>组织实施情况（满分</w:t>
      </w:r>
      <w:r>
        <w:rPr>
          <w:rFonts w:ascii="仿宋_GB2312"/>
        </w:rPr>
        <w:t>8</w:t>
      </w:r>
      <w:r>
        <w:rPr>
          <w:rFonts w:hint="eastAsia" w:ascii="仿宋_GB2312"/>
        </w:rPr>
        <w:t>分，得分</w:t>
      </w:r>
      <w:r>
        <w:rPr>
          <w:rFonts w:ascii="仿宋_GB2312"/>
        </w:rPr>
        <w:t>7.5</w:t>
      </w:r>
      <w:r>
        <w:rPr>
          <w:rFonts w:hint="eastAsia" w:ascii="仿宋_GB2312"/>
        </w:rPr>
        <w:t>分）</w:t>
      </w:r>
      <w:bookmarkEnd w:id="32"/>
    </w:p>
    <w:p>
      <w:pPr>
        <w:ind w:firstLine="643"/>
        <w:rPr>
          <w:rFonts w:ascii="仿宋_GB2312" w:hAnsi="仿宋_GB2312"/>
          <w:b/>
          <w:bCs/>
        </w:rPr>
      </w:pPr>
      <w:r>
        <w:rPr>
          <w:rFonts w:hint="eastAsia" w:ascii="仿宋_GB2312" w:hAnsi="仿宋_GB2312"/>
          <w:b/>
          <w:bCs/>
        </w:rPr>
        <w:t>一是管理制度健全性。</w:t>
      </w:r>
      <w:r>
        <w:rPr>
          <w:rFonts w:hint="eastAsia" w:ascii="仿宋_GB2312" w:hAnsi="仿宋_GB2312"/>
        </w:rPr>
        <w:t>项目主要按照</w:t>
      </w:r>
      <w:r>
        <w:rPr>
          <w:rFonts w:hint="eastAsia" w:ascii="仿宋_GB2312"/>
        </w:rPr>
        <w:t>《深圳市福田区国库支付中心工作制度汇编》的财务管理制度</w:t>
      </w:r>
      <w:r>
        <w:rPr>
          <w:rFonts w:hint="eastAsia" w:ascii="仿宋_GB2312" w:hAnsi="仿宋_GB2312"/>
        </w:rPr>
        <w:t>执行，制度中明确了项目资金支付、项目绩效管理等规定，管理制度健全，保障了项目的高效、合规实施。</w:t>
      </w:r>
    </w:p>
    <w:p>
      <w:pPr>
        <w:ind w:firstLine="643"/>
        <w:rPr>
          <w:rFonts w:ascii="仿宋_GB2312" w:hAnsi="仿宋_GB2312"/>
          <w:b/>
          <w:bCs/>
        </w:rPr>
      </w:pPr>
      <w:r>
        <w:rPr>
          <w:rFonts w:hint="eastAsia" w:ascii="仿宋_GB2312" w:hAnsi="仿宋_GB2312"/>
          <w:b/>
          <w:bCs/>
        </w:rPr>
        <w:t>二是制度执行有效性。</w:t>
      </w:r>
      <w:r>
        <w:rPr>
          <w:rFonts w:hint="eastAsia" w:ascii="仿宋_GB2312" w:hAnsi="仿宋_GB2312"/>
        </w:rPr>
        <w:t>项目依据《</w:t>
      </w:r>
      <w:r>
        <w:rPr>
          <w:rFonts w:hint="eastAsia" w:ascii="仿宋_GB2312"/>
        </w:rPr>
        <w:t>深圳市福田区国库支付中心工作制度汇编》的财务管理制度</w:t>
      </w:r>
      <w:r>
        <w:rPr>
          <w:rFonts w:hint="eastAsia" w:ascii="仿宋_GB2312" w:hAnsi="仿宋_GB2312"/>
        </w:rPr>
        <w:t>执行，在工作小组实地查阅单位项目实施的合规情况时发现，该项目实施的人员条件、场地设备、信息支撑等落实到位，</w:t>
      </w:r>
      <w:r>
        <w:rPr>
          <w:rFonts w:hint="eastAsia" w:ascii="仿宋_GB2312"/>
        </w:rPr>
        <w:t>依据评分标准，此项指标满分4分，得分</w:t>
      </w:r>
      <w:r>
        <w:rPr>
          <w:rFonts w:ascii="仿宋_GB2312"/>
        </w:rPr>
        <w:t>4</w:t>
      </w:r>
      <w:r>
        <w:rPr>
          <w:rFonts w:hint="eastAsia" w:ascii="仿宋_GB2312"/>
        </w:rPr>
        <w:t>分。</w:t>
      </w:r>
    </w:p>
    <w:p>
      <w:pPr>
        <w:ind w:firstLine="643"/>
        <w:rPr>
          <w:rFonts w:ascii="仿宋_GB2312" w:hAnsi="仿宋_GB2312"/>
          <w:b/>
          <w:bCs/>
        </w:rPr>
      </w:pPr>
      <w:r>
        <w:rPr>
          <w:rFonts w:hint="eastAsia" w:ascii="仿宋_GB2312" w:hAnsi="仿宋_GB2312"/>
          <w:b/>
          <w:bCs/>
        </w:rPr>
        <w:t>三是档案管理规范性。</w:t>
      </w:r>
      <w:r>
        <w:rPr>
          <w:rFonts w:hint="eastAsia" w:ascii="仿宋_GB2312" w:hAnsi="仿宋_GB2312"/>
        </w:rPr>
        <w:t>项目实施过程中，档案存档存在不规范的问题，一是</w:t>
      </w:r>
      <w:r>
        <w:rPr>
          <w:rFonts w:hint="eastAsia" w:ascii="仿宋_GB2312"/>
        </w:rPr>
        <w:t>项目采购档案仅有采购申请文件、合同、验收文件等采购过程文件，未对项目实施的部分过程资料进行完整归档，如缺少培训资料；二是项目责任部门存档资料中，验收单信息填写不完整，与会计凭证同类资料信息不一致。</w:t>
      </w:r>
    </w:p>
    <w:p>
      <w:pPr>
        <w:pStyle w:val="2"/>
        <w:ind w:firstLine="643"/>
        <w:rPr>
          <w:rFonts w:eastAsia="楷体_GB2312"/>
          <w:b/>
          <w:szCs w:val="40"/>
        </w:rPr>
      </w:pPr>
      <w:bookmarkStart w:id="33" w:name="_Toc111637888"/>
      <w:r>
        <w:rPr>
          <w:rFonts w:hint="eastAsia" w:eastAsia="楷体_GB2312"/>
          <w:b/>
          <w:szCs w:val="40"/>
        </w:rPr>
        <w:t>（三）项目产出情况</w:t>
      </w:r>
      <w:bookmarkEnd w:id="33"/>
    </w:p>
    <w:p>
      <w:pPr>
        <w:ind w:firstLine="640"/>
        <w:rPr>
          <w:rFonts w:ascii="仿宋_GB2312"/>
          <w:color w:val="000000" w:themeColor="text1"/>
          <w:szCs w:val="40"/>
          <w14:textFill>
            <w14:solidFill>
              <w14:schemeClr w14:val="tx1"/>
            </w14:solidFill>
          </w14:textFill>
        </w:rPr>
      </w:pPr>
      <w:r>
        <w:rPr>
          <w:rFonts w:hint="eastAsia" w:ascii="仿宋_GB2312"/>
          <w:szCs w:val="40"/>
        </w:rPr>
        <w:t>该指标主要考核项目产出数量、质量、时效及成本等情况。该指标满分</w:t>
      </w:r>
      <w:r>
        <w:rPr>
          <w:rFonts w:ascii="仿宋_GB2312"/>
          <w:szCs w:val="40"/>
        </w:rPr>
        <w:t>36分，得分33.96分，得分率94.33%。</w:t>
      </w:r>
    </w:p>
    <w:p>
      <w:pPr>
        <w:pStyle w:val="4"/>
        <w:ind w:firstLine="643"/>
        <w:rPr>
          <w:rFonts w:ascii="仿宋_GB2312"/>
        </w:rPr>
      </w:pPr>
      <w:bookmarkStart w:id="34" w:name="_Toc111637889"/>
      <w:r>
        <w:rPr>
          <w:rFonts w:ascii="仿宋_GB2312"/>
        </w:rPr>
        <w:t>1.</w:t>
      </w:r>
      <w:r>
        <w:rPr>
          <w:rFonts w:hint="eastAsia" w:ascii="仿宋_GB2312"/>
        </w:rPr>
        <w:t>产出数量（满分1</w:t>
      </w:r>
      <w:r>
        <w:rPr>
          <w:rFonts w:ascii="仿宋_GB2312"/>
        </w:rPr>
        <w:t>2</w:t>
      </w:r>
      <w:r>
        <w:rPr>
          <w:rFonts w:hint="eastAsia" w:ascii="仿宋_GB2312"/>
        </w:rPr>
        <w:t>分，得分</w:t>
      </w:r>
      <w:r>
        <w:rPr>
          <w:rFonts w:ascii="仿宋_GB2312"/>
        </w:rPr>
        <w:t>12</w:t>
      </w:r>
      <w:r>
        <w:rPr>
          <w:rFonts w:hint="eastAsia" w:ascii="仿宋_GB2312"/>
        </w:rPr>
        <w:t>分）</w:t>
      </w:r>
      <w:bookmarkEnd w:id="34"/>
    </w:p>
    <w:p>
      <w:pPr>
        <w:ind w:firstLine="643"/>
        <w:rPr>
          <w:rFonts w:ascii="仿宋_GB2312"/>
          <w:b/>
          <w:bCs/>
        </w:rPr>
      </w:pPr>
      <w:r>
        <w:rPr>
          <w:rFonts w:hint="eastAsia" w:ascii="仿宋_GB2312"/>
          <w:b/>
          <w:bCs/>
        </w:rPr>
        <w:t>（1）系统维护数量（满分4分，得分4分）</w:t>
      </w:r>
    </w:p>
    <w:p>
      <w:pPr>
        <w:ind w:firstLine="640"/>
        <w:rPr>
          <w:rFonts w:ascii="仿宋_GB2312"/>
        </w:rPr>
      </w:pPr>
      <w:r>
        <w:rPr>
          <w:rFonts w:hint="eastAsia" w:ascii="仿宋_GB2312"/>
        </w:rPr>
        <w:t>2</w:t>
      </w:r>
      <w:r>
        <w:rPr>
          <w:rFonts w:ascii="仿宋_GB2312"/>
        </w:rPr>
        <w:t>021</w:t>
      </w:r>
      <w:r>
        <w:rPr>
          <w:rFonts w:hint="eastAsia" w:ascii="仿宋_GB2312"/>
        </w:rPr>
        <w:t>年，通过实施“信息系统维护”项目，完成了对中心财务电算化系统V</w:t>
      </w:r>
      <w:r>
        <w:rPr>
          <w:rFonts w:ascii="仿宋_GB2312"/>
        </w:rPr>
        <w:t>1.0</w:t>
      </w:r>
      <w:r>
        <w:rPr>
          <w:rFonts w:hint="eastAsia" w:ascii="仿宋_GB2312"/>
        </w:rPr>
        <w:t>和财务电算化系统V</w:t>
      </w:r>
      <w:r>
        <w:rPr>
          <w:rFonts w:ascii="仿宋_GB2312"/>
        </w:rPr>
        <w:t>2.0</w:t>
      </w:r>
      <w:r>
        <w:rPr>
          <w:rFonts w:hint="eastAsia" w:ascii="仿宋_GB2312"/>
        </w:rPr>
        <w:t>的运行维护工作，达成项目目标。</w:t>
      </w:r>
    </w:p>
    <w:p>
      <w:pPr>
        <w:ind w:firstLine="643"/>
        <w:rPr>
          <w:rFonts w:ascii="仿宋_GB2312"/>
          <w:b/>
          <w:bCs/>
        </w:rPr>
      </w:pPr>
      <w:r>
        <w:rPr>
          <w:rFonts w:hint="eastAsia" w:ascii="仿宋_GB2312"/>
          <w:b/>
          <w:bCs/>
        </w:rPr>
        <w:t>（2）系统升级新增功能数（满分</w:t>
      </w:r>
      <w:r>
        <w:rPr>
          <w:rFonts w:ascii="仿宋_GB2312"/>
          <w:b/>
          <w:bCs/>
        </w:rPr>
        <w:t>6</w:t>
      </w:r>
      <w:r>
        <w:rPr>
          <w:rFonts w:hint="eastAsia" w:ascii="仿宋_GB2312"/>
          <w:b/>
          <w:bCs/>
        </w:rPr>
        <w:t>分，得分6分）</w:t>
      </w:r>
    </w:p>
    <w:p>
      <w:pPr>
        <w:ind w:firstLine="640"/>
        <w:rPr>
          <w:rFonts w:ascii="仿宋_GB2312"/>
        </w:rPr>
      </w:pPr>
      <w:r>
        <w:rPr>
          <w:rFonts w:hint="eastAsia" w:ascii="仿宋_GB2312"/>
        </w:rPr>
        <w:t>中心稽核部收集并汇总了福田区各集中核算单位在2</w:t>
      </w:r>
      <w:r>
        <w:rPr>
          <w:rFonts w:ascii="仿宋_GB2312"/>
        </w:rPr>
        <w:t>021</w:t>
      </w:r>
      <w:r>
        <w:rPr>
          <w:rFonts w:hint="eastAsia" w:ascii="仿宋_GB2312"/>
        </w:rPr>
        <w:t>年使用财务电算化系统中发现的问题。根据全面性、普遍性的原则，针对该财务电算化系统进行了以下功能新增工作</w:t>
      </w:r>
      <w:r>
        <w:rPr>
          <w:rFonts w:hint="eastAsia" w:ascii="仿宋_GB2312"/>
          <w:b/>
          <w:bCs/>
        </w:rPr>
        <w:t>：一是</w:t>
      </w:r>
      <w:r>
        <w:rPr>
          <w:rFonts w:hint="eastAsia" w:ascii="仿宋_GB2312"/>
        </w:rPr>
        <w:t>新增区内资产无偿调拨提醒功能。新增了入账提醒功能，在区内拨出单位将资产进行调拨账务处理业务后，拨入单位账套界面自动显示入账提醒消息，并可根据资产调拨信息进行自动账务处理，拨入单位账套界面后，拨出单位账套界面自动显示入账提醒信息；</w:t>
      </w:r>
      <w:r>
        <w:rPr>
          <w:rFonts w:hint="eastAsia" w:ascii="仿宋_GB2312"/>
          <w:b/>
          <w:bCs/>
        </w:rPr>
        <w:t>二是</w:t>
      </w:r>
      <w:r>
        <w:rPr>
          <w:rFonts w:hint="eastAsia" w:ascii="仿宋_GB2312"/>
        </w:rPr>
        <w:t>新增报表批量生成功能。新增报表批量生成功能，满足核酸人员跨账套生成多张报表的需求；</w:t>
      </w:r>
      <w:r>
        <w:rPr>
          <w:rFonts w:hint="eastAsia" w:ascii="仿宋_GB2312"/>
          <w:b/>
          <w:bCs/>
        </w:rPr>
        <w:t>三是</w:t>
      </w:r>
      <w:r>
        <w:rPr>
          <w:rFonts w:hint="eastAsia" w:ascii="仿宋_GB2312"/>
        </w:rPr>
        <w:t>新增凭证审核退单统计关联记账凭证查询功能。新增凭证审核退单统计关联记账凭证查询功能，在凭证审核退单统计界面可联查相对应的记账凭证，极大地减少了核算人员的工作量，提高了中心的公共服务效率。</w:t>
      </w:r>
    </w:p>
    <w:p>
      <w:pPr>
        <w:ind w:firstLine="643"/>
        <w:rPr>
          <w:rFonts w:ascii="仿宋_GB2312"/>
          <w:b/>
          <w:bCs/>
        </w:rPr>
      </w:pPr>
      <w:r>
        <w:rPr>
          <w:rFonts w:hint="eastAsia" w:ascii="仿宋_GB2312"/>
          <w:b/>
          <w:bCs/>
        </w:rPr>
        <w:t>（3）系统培训种类数（总分2分，得分2分）</w:t>
      </w:r>
    </w:p>
    <w:p>
      <w:pPr>
        <w:ind w:firstLine="640"/>
        <w:rPr>
          <w:rFonts w:ascii="仿宋_GB2312"/>
        </w:rPr>
      </w:pPr>
      <w:r>
        <w:rPr>
          <w:rFonts w:hint="eastAsia" w:ascii="仿宋_GB2312"/>
        </w:rPr>
        <w:t>2</w:t>
      </w:r>
      <w:r>
        <w:rPr>
          <w:rFonts w:ascii="仿宋_GB2312"/>
        </w:rPr>
        <w:t>021</w:t>
      </w:r>
      <w:r>
        <w:rPr>
          <w:rFonts w:hint="eastAsia" w:ascii="仿宋_GB2312"/>
        </w:rPr>
        <w:t>年，中心共组织了2场系统培训。一是面向区内各集中核算单位经办人员，组织开展了基于系统功能及应用操作的培训；二是面向系统管理员，组织开展了关于系统安装、维护与系统管理的培训。</w:t>
      </w:r>
    </w:p>
    <w:p>
      <w:pPr>
        <w:pStyle w:val="4"/>
        <w:ind w:firstLine="643"/>
        <w:rPr>
          <w:rFonts w:ascii="仿宋_GB2312"/>
        </w:rPr>
      </w:pPr>
      <w:bookmarkStart w:id="35" w:name="_Toc111637890"/>
      <w:r>
        <w:rPr>
          <w:rFonts w:hint="eastAsia" w:ascii="仿宋_GB2312"/>
        </w:rPr>
        <w:t>2</w:t>
      </w:r>
      <w:r>
        <w:rPr>
          <w:rFonts w:ascii="仿宋_GB2312"/>
        </w:rPr>
        <w:t>.</w:t>
      </w:r>
      <w:r>
        <w:rPr>
          <w:rFonts w:hint="eastAsia" w:ascii="仿宋_GB2312"/>
        </w:rPr>
        <w:t>产出质量（满分</w:t>
      </w:r>
      <w:r>
        <w:rPr>
          <w:rFonts w:ascii="仿宋_GB2312"/>
        </w:rPr>
        <w:t>12</w:t>
      </w:r>
      <w:r>
        <w:rPr>
          <w:rFonts w:hint="eastAsia" w:ascii="仿宋_GB2312"/>
        </w:rPr>
        <w:t>分，得分</w:t>
      </w:r>
      <w:r>
        <w:rPr>
          <w:rFonts w:ascii="仿宋_GB2312"/>
        </w:rPr>
        <w:t>11.15</w:t>
      </w:r>
      <w:r>
        <w:rPr>
          <w:rFonts w:hint="eastAsia" w:ascii="仿宋_GB2312"/>
        </w:rPr>
        <w:t>分）</w:t>
      </w:r>
      <w:bookmarkEnd w:id="35"/>
    </w:p>
    <w:p>
      <w:pPr>
        <w:ind w:firstLine="643"/>
        <w:rPr>
          <w:rFonts w:ascii="仿宋_GB2312"/>
          <w:b/>
          <w:bCs/>
        </w:rPr>
      </w:pPr>
      <w:r>
        <w:rPr>
          <w:rFonts w:hint="eastAsia" w:ascii="仿宋_GB2312"/>
          <w:b/>
          <w:bCs/>
        </w:rPr>
        <w:t>（1）项目验收合格率（满分</w:t>
      </w:r>
      <w:r>
        <w:rPr>
          <w:rFonts w:ascii="仿宋_GB2312"/>
          <w:b/>
          <w:bCs/>
        </w:rPr>
        <w:t>4</w:t>
      </w:r>
      <w:r>
        <w:rPr>
          <w:rFonts w:hint="eastAsia" w:ascii="仿宋_GB2312"/>
          <w:b/>
          <w:bCs/>
        </w:rPr>
        <w:t>分，得分</w:t>
      </w:r>
      <w:r>
        <w:rPr>
          <w:rFonts w:ascii="仿宋_GB2312"/>
          <w:b/>
          <w:bCs/>
        </w:rPr>
        <w:t>4</w:t>
      </w:r>
      <w:r>
        <w:rPr>
          <w:rFonts w:hint="eastAsia" w:ascii="仿宋_GB2312"/>
          <w:b/>
          <w:bCs/>
        </w:rPr>
        <w:t>分）</w:t>
      </w:r>
    </w:p>
    <w:p>
      <w:pPr>
        <w:ind w:firstLine="640"/>
        <w:rPr>
          <w:rFonts w:ascii="仿宋_GB2312"/>
        </w:rPr>
      </w:pPr>
      <w:r>
        <w:rPr>
          <w:rFonts w:hint="eastAsia" w:ascii="仿宋_GB2312"/>
        </w:rPr>
        <w:t>2</w:t>
      </w:r>
      <w:r>
        <w:rPr>
          <w:rFonts w:ascii="仿宋_GB2312"/>
        </w:rPr>
        <w:t>021</w:t>
      </w:r>
      <w:r>
        <w:rPr>
          <w:rFonts w:hint="eastAsia" w:ascii="仿宋_GB2312"/>
        </w:rPr>
        <w:t>年度“信息系统维护”项目涵盖两个子项目，分别是“财务电算化系统运维服务项目”与“财务服务平台系统改造技术服务项目”。该两个项目均在约定时间内完工，且均符合验收标准。</w:t>
      </w:r>
    </w:p>
    <w:p>
      <w:pPr>
        <w:ind w:firstLine="643"/>
        <w:rPr>
          <w:rFonts w:ascii="仿宋_GB2312"/>
          <w:b/>
          <w:bCs/>
        </w:rPr>
      </w:pPr>
      <w:r>
        <w:rPr>
          <w:rFonts w:hint="eastAsia" w:ascii="仿宋_GB2312"/>
          <w:b/>
          <w:bCs/>
        </w:rPr>
        <w:t>（2）系统培训参与率（满分</w:t>
      </w:r>
      <w:r>
        <w:rPr>
          <w:rFonts w:ascii="仿宋_GB2312"/>
          <w:b/>
          <w:bCs/>
        </w:rPr>
        <w:t>2</w:t>
      </w:r>
      <w:r>
        <w:rPr>
          <w:rFonts w:hint="eastAsia" w:ascii="仿宋_GB2312"/>
          <w:b/>
          <w:bCs/>
        </w:rPr>
        <w:t>分，得分</w:t>
      </w:r>
      <w:r>
        <w:rPr>
          <w:rFonts w:ascii="仿宋_GB2312"/>
          <w:b/>
          <w:bCs/>
        </w:rPr>
        <w:t>1.15</w:t>
      </w:r>
      <w:r>
        <w:rPr>
          <w:rFonts w:hint="eastAsia" w:ascii="仿宋_GB2312"/>
          <w:b/>
          <w:bCs/>
        </w:rPr>
        <w:t>分）</w:t>
      </w:r>
    </w:p>
    <w:p>
      <w:pPr>
        <w:ind w:firstLine="640"/>
        <w:rPr>
          <w:rFonts w:ascii="仿宋_GB2312"/>
        </w:rPr>
      </w:pPr>
      <w:r>
        <w:rPr>
          <w:rFonts w:hint="eastAsia" w:ascii="仿宋_GB2312"/>
        </w:rPr>
        <w:t>调查问卷结果显示，2</w:t>
      </w:r>
      <w:r>
        <w:rPr>
          <w:rFonts w:ascii="仿宋_GB2312"/>
        </w:rPr>
        <w:t>021</w:t>
      </w:r>
      <w:r>
        <w:rPr>
          <w:rFonts w:hint="eastAsia" w:ascii="仿宋_GB2312"/>
        </w:rPr>
        <w:t>年，中心及全区各集中核算单位工作人员培训参与率仅为5</w:t>
      </w:r>
      <w:r>
        <w:rPr>
          <w:rFonts w:ascii="仿宋_GB2312"/>
        </w:rPr>
        <w:t>7.32</w:t>
      </w:r>
      <w:r>
        <w:rPr>
          <w:rFonts w:hint="eastAsia" w:ascii="仿宋_GB2312"/>
        </w:rPr>
        <w:t>%，培训参与力度有待加强。</w:t>
      </w:r>
    </w:p>
    <w:p>
      <w:pPr>
        <w:ind w:firstLine="643"/>
        <w:rPr>
          <w:rFonts w:ascii="仿宋_GB2312"/>
          <w:b/>
          <w:bCs/>
        </w:rPr>
      </w:pPr>
      <w:r>
        <w:rPr>
          <w:rFonts w:hint="eastAsia" w:ascii="仿宋_GB2312"/>
          <w:b/>
          <w:bCs/>
        </w:rPr>
        <w:t>（3）故障排除率（满分</w:t>
      </w:r>
      <w:r>
        <w:rPr>
          <w:rFonts w:ascii="仿宋_GB2312"/>
          <w:b/>
          <w:bCs/>
        </w:rPr>
        <w:t>6</w:t>
      </w:r>
      <w:r>
        <w:rPr>
          <w:rFonts w:hint="eastAsia" w:ascii="仿宋_GB2312"/>
          <w:b/>
          <w:bCs/>
        </w:rPr>
        <w:t>分，得分</w:t>
      </w:r>
      <w:r>
        <w:rPr>
          <w:rFonts w:ascii="仿宋_GB2312"/>
          <w:b/>
          <w:bCs/>
        </w:rPr>
        <w:t>6</w:t>
      </w:r>
      <w:r>
        <w:rPr>
          <w:rFonts w:hint="eastAsia" w:ascii="仿宋_GB2312"/>
          <w:b/>
          <w:bCs/>
        </w:rPr>
        <w:t>分）</w:t>
      </w:r>
    </w:p>
    <w:p>
      <w:pPr>
        <w:ind w:firstLine="643"/>
        <w:rPr>
          <w:rFonts w:ascii="仿宋_GB2312"/>
        </w:rPr>
      </w:pPr>
      <w:r>
        <w:rPr>
          <w:rFonts w:hint="eastAsia" w:ascii="仿宋_GB2312"/>
          <w:b/>
          <w:bCs/>
        </w:rPr>
        <w:t>一是</w:t>
      </w:r>
      <w:r>
        <w:rPr>
          <w:rFonts w:hint="eastAsia" w:ascii="仿宋_GB2312"/>
        </w:rPr>
        <w:t>财务电算化系统运维过程中的故障排除情况。截至2</w:t>
      </w:r>
      <w:r>
        <w:rPr>
          <w:rFonts w:ascii="仿宋_GB2312"/>
        </w:rPr>
        <w:t>021</w:t>
      </w:r>
      <w:r>
        <w:rPr>
          <w:rFonts w:hint="eastAsia" w:ascii="仿宋_GB2312"/>
        </w:rPr>
        <w:t>年末，中心一共收到来自区各集中核算单位及内部工作人员反馈的问题共3</w:t>
      </w:r>
      <w:r>
        <w:rPr>
          <w:rFonts w:ascii="仿宋_GB2312"/>
        </w:rPr>
        <w:t>1</w:t>
      </w:r>
      <w:r>
        <w:rPr>
          <w:rFonts w:hint="eastAsia" w:ascii="仿宋_GB2312"/>
        </w:rPr>
        <w:t>项。中心稽核部对接人员及时将每项问题反馈给运维工程师，工程师在接到反馈后积极响应，迅速进行故障排查处理，根据现场调研发现，所有反馈的问题均已解决，故障排除率达1</w:t>
      </w:r>
      <w:r>
        <w:rPr>
          <w:rFonts w:ascii="仿宋_GB2312"/>
        </w:rPr>
        <w:t>00</w:t>
      </w:r>
      <w:r>
        <w:rPr>
          <w:rFonts w:hint="eastAsia" w:ascii="仿宋_GB2312"/>
        </w:rPr>
        <w:t>%。</w:t>
      </w:r>
    </w:p>
    <w:p>
      <w:pPr>
        <w:ind w:firstLine="643"/>
        <w:rPr>
          <w:rFonts w:ascii="仿宋_GB2312"/>
        </w:rPr>
      </w:pPr>
      <w:r>
        <w:rPr>
          <w:rFonts w:hint="eastAsia"/>
          <w:b/>
          <w:bCs/>
        </w:rPr>
        <w:t>二是</w:t>
      </w:r>
      <w:r>
        <w:rPr>
          <w:rFonts w:hint="eastAsia" w:ascii="仿宋_GB2312"/>
        </w:rPr>
        <w:t>财务服务平台系统改造过程中的故障排除情况。在对财务服务平台进行系统升级改造的过程中，中心工作人员发现了2</w:t>
      </w:r>
      <w:r>
        <w:rPr>
          <w:rFonts w:ascii="仿宋_GB2312"/>
        </w:rPr>
        <w:t>0</w:t>
      </w:r>
      <w:r>
        <w:rPr>
          <w:rFonts w:hint="eastAsia" w:ascii="仿宋_GB2312"/>
        </w:rPr>
        <w:t>项问题。针对系统升级所产生的问题，系统升级工程师与其技术部门做了相应处理工作。处理结束后，系统工程师会形成问题解决日志，将问题描述与处理方案、处理结果一同存档，并汇报给稽核部对接人员。该2</w:t>
      </w:r>
      <w:r>
        <w:rPr>
          <w:rFonts w:ascii="仿宋_GB2312"/>
        </w:rPr>
        <w:t>0</w:t>
      </w:r>
      <w:r>
        <w:rPr>
          <w:rFonts w:hint="eastAsia" w:ascii="仿宋_GB2312"/>
        </w:rPr>
        <w:t>项问题均已及时解决，故障排除率1</w:t>
      </w:r>
      <w:r>
        <w:rPr>
          <w:rFonts w:ascii="仿宋_GB2312"/>
        </w:rPr>
        <w:t>00</w:t>
      </w:r>
      <w:r>
        <w:rPr>
          <w:rFonts w:hint="eastAsia" w:ascii="仿宋_GB2312"/>
        </w:rPr>
        <w:t>%。</w:t>
      </w:r>
    </w:p>
    <w:p>
      <w:pPr>
        <w:pStyle w:val="4"/>
        <w:ind w:firstLine="643"/>
        <w:rPr>
          <w:rFonts w:ascii="仿宋_GB2312"/>
        </w:rPr>
      </w:pPr>
      <w:bookmarkStart w:id="36" w:name="_Toc111637891"/>
      <w:r>
        <w:rPr>
          <w:rFonts w:hint="eastAsia" w:ascii="仿宋_GB2312"/>
        </w:rPr>
        <w:t>3</w:t>
      </w:r>
      <w:r>
        <w:rPr>
          <w:rFonts w:ascii="仿宋_GB2312"/>
        </w:rPr>
        <w:t>.</w:t>
      </w:r>
      <w:r>
        <w:rPr>
          <w:rFonts w:hint="eastAsia" w:ascii="仿宋_GB2312"/>
        </w:rPr>
        <w:t>产出时效（满分</w:t>
      </w:r>
      <w:r>
        <w:rPr>
          <w:rFonts w:ascii="仿宋_GB2312"/>
        </w:rPr>
        <w:t>5</w:t>
      </w:r>
      <w:r>
        <w:rPr>
          <w:rFonts w:hint="eastAsia" w:ascii="仿宋_GB2312"/>
        </w:rPr>
        <w:t>分，得分</w:t>
      </w:r>
      <w:r>
        <w:rPr>
          <w:rFonts w:ascii="仿宋_GB2312"/>
        </w:rPr>
        <w:t>3.81</w:t>
      </w:r>
      <w:r>
        <w:rPr>
          <w:rFonts w:hint="eastAsia" w:ascii="仿宋_GB2312"/>
        </w:rPr>
        <w:t>分）</w:t>
      </w:r>
      <w:bookmarkEnd w:id="36"/>
    </w:p>
    <w:p>
      <w:pPr>
        <w:ind w:firstLine="643"/>
        <w:rPr>
          <w:rFonts w:ascii="仿宋_GB2312"/>
          <w:b/>
          <w:bCs/>
        </w:rPr>
      </w:pPr>
      <w:r>
        <w:rPr>
          <w:rFonts w:hint="eastAsia" w:ascii="仿宋_GB2312"/>
          <w:b/>
          <w:bCs/>
        </w:rPr>
        <w:t>（1）银行对账数据导入及时率（满分</w:t>
      </w:r>
      <w:r>
        <w:rPr>
          <w:rFonts w:ascii="仿宋_GB2312"/>
          <w:b/>
          <w:bCs/>
        </w:rPr>
        <w:t>2</w:t>
      </w:r>
      <w:r>
        <w:rPr>
          <w:rFonts w:hint="eastAsia" w:ascii="仿宋_GB2312"/>
          <w:b/>
          <w:bCs/>
        </w:rPr>
        <w:t>分，得分</w:t>
      </w:r>
      <w:r>
        <w:rPr>
          <w:rFonts w:ascii="仿宋_GB2312"/>
          <w:b/>
          <w:bCs/>
        </w:rPr>
        <w:t>1.51</w:t>
      </w:r>
      <w:r>
        <w:rPr>
          <w:rFonts w:hint="eastAsia" w:ascii="仿宋_GB2312"/>
          <w:b/>
          <w:bCs/>
        </w:rPr>
        <w:t>分）</w:t>
      </w:r>
    </w:p>
    <w:p>
      <w:pPr>
        <w:ind w:firstLine="640"/>
        <w:rPr>
          <w:rFonts w:ascii="仿宋_GB2312"/>
        </w:rPr>
      </w:pPr>
      <w:r>
        <w:rPr>
          <w:rFonts w:hint="eastAsia" w:ascii="仿宋_GB2312"/>
        </w:rPr>
        <w:t>“信息系统维护”项目中，运维人员日常承担着银行对账数据导入系统的工作，每月定期导入工行、建行、招行零余额对账单，以及工行、建行自有户对账单。调查问卷展示，银行对账数据导入及时率为</w:t>
      </w:r>
      <w:r>
        <w:rPr>
          <w:rFonts w:ascii="仿宋_GB2312"/>
        </w:rPr>
        <w:t>75.61</w:t>
      </w:r>
      <w:r>
        <w:rPr>
          <w:rFonts w:hint="eastAsia" w:ascii="仿宋_GB2312"/>
        </w:rPr>
        <w:t>%，有待进一步提升。</w:t>
      </w:r>
    </w:p>
    <w:p>
      <w:pPr>
        <w:ind w:firstLine="643"/>
        <w:rPr>
          <w:rFonts w:ascii="仿宋_GB2312"/>
          <w:b/>
          <w:bCs/>
        </w:rPr>
      </w:pPr>
      <w:r>
        <w:rPr>
          <w:rFonts w:hint="eastAsia" w:ascii="仿宋_GB2312"/>
          <w:b/>
          <w:bCs/>
        </w:rPr>
        <w:t>（2）故障处理及时率（满分</w:t>
      </w:r>
      <w:r>
        <w:rPr>
          <w:rFonts w:ascii="仿宋_GB2312"/>
          <w:b/>
          <w:bCs/>
        </w:rPr>
        <w:t>3</w:t>
      </w:r>
      <w:r>
        <w:rPr>
          <w:rFonts w:hint="eastAsia" w:ascii="仿宋_GB2312"/>
          <w:b/>
          <w:bCs/>
        </w:rPr>
        <w:t>分，得分</w:t>
      </w:r>
      <w:r>
        <w:rPr>
          <w:rFonts w:ascii="仿宋_GB2312"/>
          <w:b/>
          <w:bCs/>
        </w:rPr>
        <w:t>2.30</w:t>
      </w:r>
      <w:r>
        <w:rPr>
          <w:rFonts w:hint="eastAsia" w:ascii="仿宋_GB2312"/>
          <w:b/>
          <w:bCs/>
        </w:rPr>
        <w:t>分）</w:t>
      </w:r>
    </w:p>
    <w:p>
      <w:pPr>
        <w:ind w:firstLine="640"/>
        <w:rPr>
          <w:rFonts w:ascii="仿宋_GB2312"/>
        </w:rPr>
      </w:pPr>
      <w:r>
        <w:rPr>
          <w:rFonts w:hint="eastAsia" w:ascii="仿宋_GB2312"/>
        </w:rPr>
        <w:t>截至2</w:t>
      </w:r>
      <w:r>
        <w:rPr>
          <w:rFonts w:ascii="仿宋_GB2312"/>
        </w:rPr>
        <w:t>021</w:t>
      </w:r>
      <w:r>
        <w:rPr>
          <w:rFonts w:hint="eastAsia" w:ascii="仿宋_GB2312"/>
        </w:rPr>
        <w:t>年底，2个系统全年正常运转，运维人员根据系统实际故障情况，提供可行性技术解决方案，确保了2个系统运行顺畅，达到了预期的时效目标。调查问卷显示，在2小时内处理完毕的故障数量占比5</w:t>
      </w:r>
      <w:r>
        <w:rPr>
          <w:rFonts w:ascii="仿宋_GB2312"/>
        </w:rPr>
        <w:t>7.5</w:t>
      </w:r>
      <w:r>
        <w:rPr>
          <w:rFonts w:hint="eastAsia" w:ascii="仿宋_GB2312"/>
        </w:rPr>
        <w:t>%；在2-</w:t>
      </w:r>
      <w:r>
        <w:rPr>
          <w:rFonts w:ascii="仿宋_GB2312"/>
        </w:rPr>
        <w:t>4</w:t>
      </w:r>
      <w:r>
        <w:rPr>
          <w:rFonts w:hint="eastAsia" w:ascii="仿宋_GB2312"/>
        </w:rPr>
        <w:t>小时内处理完毕的故障数量占比2</w:t>
      </w:r>
      <w:r>
        <w:rPr>
          <w:rFonts w:ascii="仿宋_GB2312"/>
        </w:rPr>
        <w:t>0</w:t>
      </w:r>
      <w:r>
        <w:rPr>
          <w:rFonts w:hint="eastAsia" w:ascii="仿宋_GB2312"/>
        </w:rPr>
        <w:t>%；在4小时-</w:t>
      </w:r>
      <w:r>
        <w:rPr>
          <w:rFonts w:ascii="仿宋_GB2312"/>
        </w:rPr>
        <w:t>2</w:t>
      </w:r>
      <w:r>
        <w:rPr>
          <w:rFonts w:hint="eastAsia" w:ascii="仿宋_GB2312"/>
        </w:rPr>
        <w:t>个工作日内处理完毕的故障数量占比1</w:t>
      </w:r>
      <w:r>
        <w:rPr>
          <w:rFonts w:ascii="仿宋_GB2312"/>
        </w:rPr>
        <w:t>7.5</w:t>
      </w:r>
      <w:r>
        <w:rPr>
          <w:rFonts w:hint="eastAsia" w:ascii="仿宋_GB2312"/>
        </w:rPr>
        <w:t>%；在2个工作日以上处理完毕的故障数量占比5%。</w:t>
      </w:r>
    </w:p>
    <w:p>
      <w:pPr>
        <w:pStyle w:val="4"/>
        <w:ind w:firstLine="643"/>
        <w:rPr>
          <w:rFonts w:ascii="仿宋_GB2312"/>
        </w:rPr>
      </w:pPr>
      <w:bookmarkStart w:id="37" w:name="_Toc111637892"/>
      <w:r>
        <w:rPr>
          <w:rFonts w:ascii="仿宋_GB2312"/>
        </w:rPr>
        <w:t>4.</w:t>
      </w:r>
      <w:r>
        <w:rPr>
          <w:rFonts w:hint="eastAsia" w:ascii="仿宋_GB2312"/>
        </w:rPr>
        <w:t>产出成本（满分</w:t>
      </w:r>
      <w:r>
        <w:rPr>
          <w:rFonts w:ascii="仿宋_GB2312"/>
        </w:rPr>
        <w:t>6</w:t>
      </w:r>
      <w:r>
        <w:rPr>
          <w:rFonts w:hint="eastAsia" w:ascii="仿宋_GB2312"/>
        </w:rPr>
        <w:t>分，</w:t>
      </w:r>
      <w:r>
        <w:rPr>
          <w:rFonts w:hint="eastAsia" w:ascii="仿宋_GB2312"/>
          <w:color w:val="000000" w:themeColor="text1"/>
          <w14:textFill>
            <w14:solidFill>
              <w14:schemeClr w14:val="tx1"/>
            </w14:solidFill>
          </w14:textFill>
        </w:rPr>
        <w:t>得分</w:t>
      </w:r>
      <w:r>
        <w:rPr>
          <w:rFonts w:ascii="仿宋_GB2312"/>
          <w:color w:val="000000" w:themeColor="text1"/>
          <w14:textFill>
            <w14:solidFill>
              <w14:schemeClr w14:val="tx1"/>
            </w14:solidFill>
          </w14:textFill>
        </w:rPr>
        <w:t>5</w:t>
      </w:r>
      <w:r>
        <w:rPr>
          <w:rFonts w:hint="eastAsia" w:ascii="仿宋_GB2312"/>
          <w:color w:val="000000" w:themeColor="text1"/>
          <w14:textFill>
            <w14:solidFill>
              <w14:schemeClr w14:val="tx1"/>
            </w14:solidFill>
          </w14:textFill>
        </w:rPr>
        <w:t>分</w:t>
      </w:r>
      <w:r>
        <w:rPr>
          <w:rFonts w:hint="eastAsia" w:ascii="仿宋_GB2312"/>
        </w:rPr>
        <w:t>）</w:t>
      </w:r>
      <w:bookmarkEnd w:id="37"/>
    </w:p>
    <w:p>
      <w:pPr>
        <w:ind w:firstLine="643"/>
        <w:rPr>
          <w:rFonts w:ascii="仿宋_GB2312"/>
          <w:b/>
          <w:bCs/>
        </w:rPr>
      </w:pPr>
      <w:r>
        <w:rPr>
          <w:rFonts w:hint="eastAsia" w:ascii="仿宋_GB2312"/>
          <w:b/>
          <w:bCs/>
        </w:rPr>
        <w:t>（1）支付进度达标率（满分</w:t>
      </w:r>
      <w:r>
        <w:rPr>
          <w:rFonts w:ascii="仿宋_GB2312"/>
          <w:b/>
          <w:bCs/>
        </w:rPr>
        <w:t>6</w:t>
      </w:r>
      <w:r>
        <w:rPr>
          <w:rFonts w:hint="eastAsia" w:ascii="仿宋_GB2312"/>
          <w:b/>
          <w:bCs/>
        </w:rPr>
        <w:t>分，</w:t>
      </w:r>
      <w:r>
        <w:rPr>
          <w:rFonts w:hint="eastAsia" w:ascii="仿宋_GB2312"/>
          <w:b/>
          <w:bCs/>
          <w:color w:val="000000" w:themeColor="text1"/>
          <w14:textFill>
            <w14:solidFill>
              <w14:schemeClr w14:val="tx1"/>
            </w14:solidFill>
          </w14:textFill>
        </w:rPr>
        <w:t>得分</w:t>
      </w:r>
      <w:r>
        <w:rPr>
          <w:rFonts w:ascii="仿宋_GB2312"/>
          <w:b/>
          <w:bCs/>
          <w:color w:val="000000" w:themeColor="text1"/>
          <w14:textFill>
            <w14:solidFill>
              <w14:schemeClr w14:val="tx1"/>
            </w14:solidFill>
          </w14:textFill>
        </w:rPr>
        <w:t>5</w:t>
      </w:r>
      <w:r>
        <w:rPr>
          <w:rFonts w:hint="eastAsia" w:ascii="仿宋_GB2312"/>
          <w:b/>
          <w:bCs/>
          <w:color w:val="000000" w:themeColor="text1"/>
          <w14:textFill>
            <w14:solidFill>
              <w14:schemeClr w14:val="tx1"/>
            </w14:solidFill>
          </w14:textFill>
        </w:rPr>
        <w:t>分</w:t>
      </w:r>
      <w:r>
        <w:rPr>
          <w:rFonts w:hint="eastAsia" w:ascii="仿宋_GB2312"/>
          <w:b/>
          <w:bCs/>
        </w:rPr>
        <w:t>）</w:t>
      </w:r>
    </w:p>
    <w:p>
      <w:pPr>
        <w:ind w:firstLine="640"/>
        <w:rPr>
          <w:rFonts w:ascii="仿宋_GB2312"/>
        </w:rPr>
      </w:pPr>
      <w:r>
        <w:rPr>
          <w:rFonts w:hint="eastAsia" w:ascii="仿宋_GB2312"/>
        </w:rPr>
        <w:t>经抽凭发现，2</w:t>
      </w:r>
      <w:r>
        <w:rPr>
          <w:rFonts w:ascii="仿宋_GB2312"/>
        </w:rPr>
        <w:t>021</w:t>
      </w:r>
      <w:r>
        <w:rPr>
          <w:rFonts w:hint="eastAsia" w:ascii="仿宋_GB2312"/>
        </w:rPr>
        <w:t>年“信息系统维护”项目支付进度与合同约定存在一定偏差。一是项目款项实际支付较合同约定存在滞后，如在支付财务服务平台系统升级首期款时，未按照合同约定的签订合同后的15个工作日内付款，实际支付时间晚于合同约定时间；二是项目款项支付方式与合同约定不一致，如支付财务服务平台运维费用时，未严格按照合同约定的按月支付周期，存在集中支付了一至三月、八至九月、十至十一月项目款项的情况。</w:t>
      </w:r>
    </w:p>
    <w:p>
      <w:pPr>
        <w:pStyle w:val="2"/>
        <w:ind w:firstLine="643"/>
        <w:rPr>
          <w:rFonts w:eastAsia="楷体_GB2312"/>
          <w:b/>
          <w:szCs w:val="40"/>
        </w:rPr>
      </w:pPr>
      <w:bookmarkStart w:id="38" w:name="_Toc111637893"/>
      <w:r>
        <w:rPr>
          <w:rFonts w:hint="eastAsia" w:eastAsia="楷体_GB2312"/>
          <w:b/>
          <w:szCs w:val="40"/>
        </w:rPr>
        <w:t>（四）项目效益</w:t>
      </w:r>
      <w:bookmarkEnd w:id="38"/>
    </w:p>
    <w:p>
      <w:pPr>
        <w:ind w:firstLine="640"/>
        <w:rPr>
          <w:rFonts w:ascii="仿宋_GB2312"/>
        </w:rPr>
      </w:pPr>
      <w:r>
        <w:rPr>
          <w:rFonts w:hint="eastAsia" w:ascii="仿宋_GB2312"/>
        </w:rPr>
        <w:t>该指标主要考核项目资金使用产出的效益性情况。该指标满分</w:t>
      </w:r>
      <w:r>
        <w:rPr>
          <w:rFonts w:ascii="仿宋_GB2312"/>
        </w:rPr>
        <w:t>25分，得分24.15分，得分率96.60%。</w:t>
      </w:r>
    </w:p>
    <w:p>
      <w:pPr>
        <w:pStyle w:val="4"/>
        <w:ind w:firstLine="643"/>
        <w:rPr>
          <w:rFonts w:ascii="仿宋_GB2312"/>
        </w:rPr>
      </w:pPr>
      <w:bookmarkStart w:id="39" w:name="_Toc111637894"/>
      <w:r>
        <w:rPr>
          <w:rFonts w:ascii="仿宋_GB2312"/>
        </w:rPr>
        <w:t>1.</w:t>
      </w:r>
      <w:r>
        <w:rPr>
          <w:rFonts w:hint="eastAsia" w:ascii="仿宋_GB2312"/>
        </w:rPr>
        <w:t>社会效益（满分</w:t>
      </w:r>
      <w:r>
        <w:rPr>
          <w:rFonts w:ascii="仿宋_GB2312"/>
        </w:rPr>
        <w:t>15</w:t>
      </w:r>
      <w:r>
        <w:rPr>
          <w:rFonts w:hint="eastAsia" w:ascii="仿宋_GB2312"/>
        </w:rPr>
        <w:t>分，得分</w:t>
      </w:r>
      <w:r>
        <w:rPr>
          <w:rFonts w:ascii="仿宋_GB2312"/>
        </w:rPr>
        <w:t>15</w:t>
      </w:r>
      <w:r>
        <w:rPr>
          <w:rFonts w:hint="eastAsia" w:ascii="仿宋_GB2312"/>
        </w:rPr>
        <w:t>分）</w:t>
      </w:r>
      <w:bookmarkEnd w:id="39"/>
    </w:p>
    <w:p>
      <w:pPr>
        <w:ind w:firstLine="643"/>
        <w:rPr>
          <w:rFonts w:ascii="仿宋_GB2312"/>
          <w:b/>
          <w:bCs/>
        </w:rPr>
      </w:pPr>
      <w:r>
        <w:rPr>
          <w:rFonts w:hint="eastAsia" w:ascii="仿宋_GB2312"/>
          <w:b/>
          <w:bCs/>
        </w:rPr>
        <w:t>（1）全区集中核算单位系统覆盖率（满分</w:t>
      </w:r>
      <w:r>
        <w:rPr>
          <w:rFonts w:ascii="仿宋_GB2312"/>
          <w:b/>
          <w:bCs/>
        </w:rPr>
        <w:t>7</w:t>
      </w:r>
      <w:r>
        <w:rPr>
          <w:rFonts w:hint="eastAsia" w:ascii="仿宋_GB2312"/>
          <w:b/>
          <w:bCs/>
        </w:rPr>
        <w:t>分，得分</w:t>
      </w:r>
      <w:r>
        <w:rPr>
          <w:rFonts w:ascii="仿宋_GB2312"/>
          <w:b/>
          <w:bCs/>
        </w:rPr>
        <w:t>7</w:t>
      </w:r>
      <w:r>
        <w:rPr>
          <w:rFonts w:hint="eastAsia" w:ascii="仿宋_GB2312"/>
          <w:b/>
          <w:bCs/>
        </w:rPr>
        <w:t>分）</w:t>
      </w:r>
    </w:p>
    <w:p>
      <w:pPr>
        <w:ind w:firstLine="640"/>
        <w:rPr>
          <w:rFonts w:ascii="仿宋_GB2312"/>
        </w:rPr>
      </w:pPr>
      <w:r>
        <w:rPr>
          <w:rFonts w:hint="eastAsia" w:ascii="仿宋_GB2312"/>
        </w:rPr>
        <w:t>中心作为集中核算管理单位，承担着福田区</w:t>
      </w:r>
      <w:r>
        <w:rPr>
          <w:rFonts w:ascii="仿宋_GB2312"/>
        </w:rPr>
        <w:t>预算指标及用款计划管理</w:t>
      </w:r>
      <w:r>
        <w:rPr>
          <w:rFonts w:hint="eastAsia" w:ascii="仿宋_GB2312"/>
        </w:rPr>
        <w:t>、</w:t>
      </w:r>
      <w:r>
        <w:rPr>
          <w:rFonts w:ascii="仿宋_GB2312"/>
        </w:rPr>
        <w:t>办理财政资金支付</w:t>
      </w:r>
      <w:r>
        <w:rPr>
          <w:rFonts w:hint="eastAsia" w:ascii="仿宋_GB2312"/>
        </w:rPr>
        <w:t>、</w:t>
      </w:r>
      <w:r>
        <w:rPr>
          <w:rFonts w:ascii="仿宋_GB2312"/>
        </w:rPr>
        <w:t>监管非税收入收缴</w:t>
      </w:r>
      <w:r>
        <w:rPr>
          <w:rFonts w:hint="eastAsia" w:ascii="仿宋_GB2312"/>
        </w:rPr>
        <w:t>、</w:t>
      </w:r>
      <w:r>
        <w:rPr>
          <w:rFonts w:ascii="仿宋_GB2312"/>
        </w:rPr>
        <w:t>登记总分类账及明细账</w:t>
      </w:r>
      <w:r>
        <w:rPr>
          <w:rFonts w:hint="eastAsia" w:ascii="仿宋_GB2312"/>
        </w:rPr>
        <w:t>、</w:t>
      </w:r>
      <w:r>
        <w:rPr>
          <w:rFonts w:ascii="仿宋_GB2312"/>
        </w:rPr>
        <w:t>管理各类账户</w:t>
      </w:r>
      <w:r>
        <w:rPr>
          <w:rFonts w:hint="eastAsia" w:ascii="仿宋_GB2312"/>
        </w:rPr>
        <w:t>及</w:t>
      </w:r>
      <w:r>
        <w:rPr>
          <w:rFonts w:ascii="仿宋_GB2312"/>
        </w:rPr>
        <w:t>建设并维护收付</w:t>
      </w:r>
      <w:r>
        <w:fldChar w:fldCharType="begin"/>
      </w:r>
      <w:r>
        <w:instrText xml:space="preserve"> HYPERLINK "https://baike.baidu.com/item/%E7%AE%A1%E7%90%86%E4%BF%A1%E6%81%AF%E7%B3%BB%E7%BB%9F/85339" \t "_blank" </w:instrText>
      </w:r>
      <w:r>
        <w:fldChar w:fldCharType="separate"/>
      </w:r>
      <w:r>
        <w:rPr>
          <w:rFonts w:ascii="仿宋_GB2312"/>
        </w:rPr>
        <w:t>管理信息系统</w:t>
      </w:r>
      <w:r>
        <w:rPr>
          <w:rFonts w:ascii="仿宋_GB2312"/>
        </w:rPr>
        <w:fldChar w:fldCharType="end"/>
      </w:r>
      <w:r>
        <w:rPr>
          <w:rFonts w:hint="eastAsia" w:ascii="仿宋_GB2312"/>
        </w:rPr>
        <w:t>等职责</w:t>
      </w:r>
      <w:r>
        <w:rPr>
          <w:rFonts w:ascii="仿宋_GB2312"/>
        </w:rPr>
        <w:t>。</w:t>
      </w:r>
    </w:p>
    <w:p>
      <w:pPr>
        <w:ind w:firstLine="640"/>
        <w:rPr>
          <w:rFonts w:ascii="仿宋_GB2312"/>
        </w:rPr>
      </w:pPr>
      <w:r>
        <w:rPr>
          <w:rFonts w:hint="eastAsia" w:ascii="仿宋_GB2312"/>
        </w:rPr>
        <w:t>2</w:t>
      </w:r>
      <w:r>
        <w:rPr>
          <w:rFonts w:ascii="仿宋_GB2312"/>
        </w:rPr>
        <w:t>021</w:t>
      </w:r>
      <w:r>
        <w:rPr>
          <w:rFonts w:hint="eastAsia" w:ascii="仿宋_GB2312"/>
        </w:rPr>
        <w:t>年，中心已保障财务电算化系统覆盖全区</w:t>
      </w:r>
      <w:r>
        <w:rPr>
          <w:rFonts w:ascii="仿宋_GB2312"/>
        </w:rPr>
        <w:t>249</w:t>
      </w:r>
      <w:r>
        <w:rPr>
          <w:rFonts w:hint="eastAsia" w:ascii="仿宋_GB2312"/>
        </w:rPr>
        <w:t>家单位，全区集中核算单位系统覆盖率达1</w:t>
      </w:r>
      <w:r>
        <w:rPr>
          <w:rFonts w:ascii="仿宋_GB2312"/>
        </w:rPr>
        <w:t>00</w:t>
      </w:r>
      <w:r>
        <w:rPr>
          <w:rFonts w:hint="eastAsia" w:ascii="仿宋_GB2312"/>
        </w:rPr>
        <w:t>%。为各单位及时查询财务业务进度、核对单位信息、系统问题反馈、系统技术升级建议录入等工作提供了有效帮助，极大地提高了各集中核算单位的公共服务效率。</w:t>
      </w:r>
    </w:p>
    <w:p>
      <w:pPr>
        <w:ind w:firstLine="643"/>
        <w:rPr>
          <w:rFonts w:ascii="仿宋_GB2312"/>
          <w:b/>
          <w:bCs/>
        </w:rPr>
      </w:pPr>
      <w:r>
        <w:rPr>
          <w:rFonts w:hint="eastAsia" w:ascii="仿宋_GB2312"/>
          <w:b/>
          <w:bCs/>
        </w:rPr>
        <w:t>（2）系统运维保障各项工作正常运转率（满分</w:t>
      </w:r>
      <w:r>
        <w:rPr>
          <w:rFonts w:ascii="仿宋_GB2312"/>
          <w:b/>
          <w:bCs/>
        </w:rPr>
        <w:t>8</w:t>
      </w:r>
      <w:r>
        <w:rPr>
          <w:rFonts w:hint="eastAsia" w:ascii="仿宋_GB2312"/>
          <w:b/>
          <w:bCs/>
        </w:rPr>
        <w:t>分，得分</w:t>
      </w:r>
      <w:r>
        <w:rPr>
          <w:rFonts w:ascii="仿宋_GB2312"/>
          <w:b/>
          <w:bCs/>
        </w:rPr>
        <w:t>8</w:t>
      </w:r>
      <w:r>
        <w:rPr>
          <w:rFonts w:hint="eastAsia" w:ascii="仿宋_GB2312"/>
          <w:b/>
          <w:bCs/>
        </w:rPr>
        <w:t>分）</w:t>
      </w:r>
    </w:p>
    <w:p>
      <w:pPr>
        <w:ind w:firstLine="640"/>
        <w:rPr>
          <w:rFonts w:ascii="仿宋_GB2312"/>
        </w:rPr>
      </w:pPr>
      <w:r>
        <w:rPr>
          <w:rFonts w:hint="eastAsia" w:ascii="仿宋_GB2312"/>
        </w:rPr>
        <w:t>中心财务电算化信息系统的有效维护，为中心及各集中核算单位的日常业务处理工作提供了有力支撑，充分保障了集中核算工作的正常运转。</w:t>
      </w:r>
    </w:p>
    <w:p>
      <w:pPr>
        <w:ind w:firstLine="643"/>
        <w:rPr>
          <w:rFonts w:ascii="仿宋_GB2312"/>
        </w:rPr>
      </w:pPr>
      <w:r>
        <w:rPr>
          <w:rFonts w:hint="eastAsia" w:ascii="仿宋_GB2312"/>
          <w:b/>
          <w:bCs/>
        </w:rPr>
        <w:t>一是</w:t>
      </w:r>
      <w:r>
        <w:rPr>
          <w:rFonts w:hint="eastAsia" w:ascii="仿宋_GB2312"/>
        </w:rPr>
        <w:t>为全区集中核算工作搭建稳固平台，确保运用信息化手段全程管理、跟踪财政资金，有利于财务资金实时监控，提高了财政资金风险管控能力。</w:t>
      </w:r>
    </w:p>
    <w:p>
      <w:pPr>
        <w:ind w:firstLine="643"/>
        <w:rPr>
          <w:rFonts w:ascii="仿宋_GB2312"/>
        </w:rPr>
      </w:pPr>
      <w:r>
        <w:rPr>
          <w:rFonts w:hint="eastAsia" w:ascii="仿宋_GB2312"/>
          <w:b/>
          <w:bCs/>
        </w:rPr>
        <w:t>二是</w:t>
      </w:r>
      <w:r>
        <w:rPr>
          <w:rFonts w:hint="eastAsia" w:ascii="仿宋_GB2312"/>
        </w:rPr>
        <w:t>保障了数据备份与优化；财务报表、预算会计报表、决算报表、分部门报表、汇总报表等报表模板的更新配置；支付数据的采集；银行对账数据导入；年末结转及下一年度账套新建；基于业务应用的非产品开发类优化；系统培训及系统管理员培训；历史系统数据运用等日常工作的正常运行，为集中核算业务夯实基础。</w:t>
      </w:r>
    </w:p>
    <w:p>
      <w:pPr>
        <w:pStyle w:val="4"/>
        <w:ind w:firstLine="643"/>
        <w:rPr>
          <w:rFonts w:ascii="仿宋_GB2312"/>
        </w:rPr>
      </w:pPr>
      <w:bookmarkStart w:id="40" w:name="_Toc111637895"/>
      <w:r>
        <w:rPr>
          <w:rFonts w:ascii="仿宋_GB2312"/>
        </w:rPr>
        <w:t>2.</w:t>
      </w:r>
      <w:r>
        <w:rPr>
          <w:rFonts w:hint="eastAsia" w:ascii="仿宋_GB2312"/>
        </w:rPr>
        <w:t>服务对象满意度（满分1</w:t>
      </w:r>
      <w:r>
        <w:rPr>
          <w:rFonts w:ascii="仿宋_GB2312"/>
        </w:rPr>
        <w:t>0</w:t>
      </w:r>
      <w:r>
        <w:rPr>
          <w:rFonts w:hint="eastAsia" w:ascii="仿宋_GB2312"/>
        </w:rPr>
        <w:t>分，得分</w:t>
      </w:r>
      <w:r>
        <w:rPr>
          <w:rFonts w:ascii="仿宋_GB2312"/>
        </w:rPr>
        <w:t>9.15</w:t>
      </w:r>
      <w:r>
        <w:rPr>
          <w:rFonts w:hint="eastAsia" w:ascii="仿宋_GB2312"/>
        </w:rPr>
        <w:t>分）</w:t>
      </w:r>
      <w:bookmarkEnd w:id="40"/>
    </w:p>
    <w:p>
      <w:pPr>
        <w:ind w:firstLine="643"/>
        <w:rPr>
          <w:rFonts w:ascii="仿宋_GB2312"/>
          <w:b/>
          <w:bCs/>
        </w:rPr>
      </w:pPr>
      <w:r>
        <w:rPr>
          <w:rFonts w:hint="eastAsia" w:ascii="仿宋_GB2312"/>
          <w:b/>
          <w:bCs/>
        </w:rPr>
        <w:t>（1）系统使用人员满意度（满分1</w:t>
      </w:r>
      <w:r>
        <w:rPr>
          <w:rFonts w:ascii="仿宋_GB2312"/>
          <w:b/>
          <w:bCs/>
        </w:rPr>
        <w:t>0</w:t>
      </w:r>
      <w:r>
        <w:rPr>
          <w:rFonts w:hint="eastAsia" w:ascii="仿宋_GB2312"/>
          <w:b/>
          <w:bCs/>
        </w:rPr>
        <w:t>分，得分</w:t>
      </w:r>
      <w:r>
        <w:rPr>
          <w:rFonts w:ascii="仿宋_GB2312"/>
          <w:b/>
          <w:bCs/>
        </w:rPr>
        <w:t>9.15</w:t>
      </w:r>
      <w:r>
        <w:rPr>
          <w:rFonts w:hint="eastAsia" w:ascii="仿宋_GB2312"/>
          <w:b/>
          <w:bCs/>
        </w:rPr>
        <w:t>分）</w:t>
      </w:r>
    </w:p>
    <w:p>
      <w:pPr>
        <w:ind w:firstLine="640"/>
        <w:rPr>
          <w:rFonts w:ascii="仿宋_GB2312"/>
        </w:rPr>
      </w:pPr>
      <w:r>
        <w:rPr>
          <w:rFonts w:hint="eastAsia" w:ascii="仿宋_GB2312"/>
        </w:rPr>
        <w:t>本次问卷调查共收回有效问卷</w:t>
      </w:r>
      <w:r>
        <w:rPr>
          <w:rFonts w:ascii="仿宋_GB2312"/>
        </w:rPr>
        <w:t>82</w:t>
      </w:r>
      <w:r>
        <w:rPr>
          <w:rFonts w:hint="eastAsia" w:ascii="仿宋_GB2312"/>
        </w:rPr>
        <w:t>份。根据问卷结果，系统使用人员对2</w:t>
      </w:r>
      <w:r>
        <w:rPr>
          <w:rFonts w:ascii="仿宋_GB2312"/>
        </w:rPr>
        <w:t>021</w:t>
      </w:r>
      <w:r>
        <w:rPr>
          <w:rFonts w:hint="eastAsia" w:ascii="仿宋_GB2312"/>
        </w:rPr>
        <w:t>年度财务电算化信息系统的运维及升级工作的整体满意度达</w:t>
      </w:r>
      <w:r>
        <w:rPr>
          <w:rFonts w:ascii="仿宋_GB2312"/>
        </w:rPr>
        <w:t>91.46</w:t>
      </w:r>
      <w:r>
        <w:rPr>
          <w:rFonts w:hint="eastAsia" w:ascii="仿宋_GB2312"/>
        </w:rPr>
        <w:t>%。</w:t>
      </w:r>
    </w:p>
    <w:p>
      <w:pPr>
        <w:pStyle w:val="2"/>
        <w:ind w:firstLine="640"/>
      </w:pPr>
      <w:bookmarkStart w:id="41" w:name="_Toc111637896"/>
      <w:r>
        <w:rPr>
          <w:rFonts w:hint="eastAsia"/>
        </w:rPr>
        <w:t>五、主要经验及做法</w:t>
      </w:r>
      <w:bookmarkEnd w:id="41"/>
    </w:p>
    <w:p>
      <w:pPr>
        <w:pStyle w:val="2"/>
        <w:ind w:firstLine="643"/>
        <w:rPr>
          <w:rFonts w:eastAsia="楷体_GB2312"/>
          <w:b/>
          <w:bCs w:val="0"/>
          <w:szCs w:val="40"/>
        </w:rPr>
      </w:pPr>
      <w:bookmarkStart w:id="42" w:name="_Toc111637897"/>
      <w:r>
        <w:rPr>
          <w:rFonts w:hint="eastAsia" w:eastAsia="楷体_GB2312"/>
          <w:b/>
          <w:szCs w:val="40"/>
        </w:rPr>
        <w:t>（一）提供问题反馈平台，提升故障解决效率</w:t>
      </w:r>
      <w:bookmarkEnd w:id="42"/>
    </w:p>
    <w:p>
      <w:pPr>
        <w:ind w:firstLine="640"/>
      </w:pPr>
      <w:r>
        <w:rPr>
          <w:rFonts w:hint="eastAsia"/>
        </w:rPr>
        <w:t>中心打通线上、线下协同反馈机制，为各集中核算单位及时反馈在日常业务工作中发现的问题提供便利性。区内各集中核算单位工作人员可以在财务电算化系统中留言，通过粤政易、电话、邮箱、微信、线下面谈等渠道反馈问题，也可通过以上方式提出各单位的使用需求，为财务信息系统功能的升级提供建设性建议。</w:t>
      </w:r>
    </w:p>
    <w:p>
      <w:pPr>
        <w:pStyle w:val="2"/>
        <w:ind w:firstLine="643"/>
        <w:rPr>
          <w:rFonts w:eastAsia="楷体_GB2312"/>
          <w:b/>
          <w:bCs w:val="0"/>
          <w:szCs w:val="40"/>
        </w:rPr>
      </w:pPr>
      <w:bookmarkStart w:id="43" w:name="_Toc111637898"/>
      <w:r>
        <w:rPr>
          <w:rFonts w:hint="eastAsia" w:eastAsia="楷体_GB2312"/>
          <w:b/>
          <w:szCs w:val="40"/>
        </w:rPr>
        <w:t>（二）探索受众使用需求，优化系统平台功能</w:t>
      </w:r>
      <w:bookmarkEnd w:id="43"/>
    </w:p>
    <w:p>
      <w:pPr>
        <w:ind w:firstLine="640"/>
        <w:rPr>
          <w:rFonts w:eastAsia="楷体_GB2312"/>
          <w:szCs w:val="40"/>
        </w:rPr>
      </w:pPr>
      <w:r>
        <w:rPr>
          <w:rFonts w:hint="eastAsia"/>
        </w:rPr>
        <w:t>中心通过上述反馈渠道，积极探索系统使用人员的系统使用需求，充分挖掘系统存在的操作流程与逻辑上的不便之处，并将其梳理总结。中心于</w:t>
      </w:r>
      <w:r>
        <w:rPr>
          <w:rFonts w:hint="eastAsia" w:ascii="仿宋_GB2312"/>
        </w:rPr>
        <w:t>2021</w:t>
      </w:r>
      <w:r>
        <w:rPr>
          <w:rFonts w:hint="eastAsia"/>
        </w:rPr>
        <w:t>年第四季度着手开展</w:t>
      </w:r>
      <w:r>
        <w:rPr>
          <w:rFonts w:hint="eastAsia" w:ascii="仿宋_GB2312"/>
        </w:rPr>
        <w:t>财务服务平台系统升级服务采购工作，</w:t>
      </w:r>
      <w:r>
        <w:rPr>
          <w:rFonts w:hint="eastAsia"/>
        </w:rPr>
        <w:t>并</w:t>
      </w:r>
      <w:r>
        <w:rPr>
          <w:rFonts w:hint="eastAsia" w:ascii="仿宋_GB2312"/>
        </w:rPr>
        <w:t>于2021年年底前完成了区内资产无偿调拨提醒功能、报表批量生成功能及凭证审核退单统计关联记账凭证查询功能的升级工作。对财务服务平台系统的升级，为全区各集中核算单位2</w:t>
      </w:r>
      <w:r>
        <w:rPr>
          <w:rFonts w:ascii="仿宋_GB2312"/>
        </w:rPr>
        <w:t>022</w:t>
      </w:r>
      <w:r>
        <w:rPr>
          <w:rFonts w:hint="eastAsia" w:ascii="仿宋_GB2312"/>
        </w:rPr>
        <w:t>年的工作提供更便捷的服务。</w:t>
      </w:r>
    </w:p>
    <w:p>
      <w:pPr>
        <w:pStyle w:val="2"/>
        <w:ind w:firstLine="643"/>
        <w:rPr>
          <w:rFonts w:eastAsia="楷体_GB2312"/>
          <w:b/>
          <w:szCs w:val="40"/>
        </w:rPr>
      </w:pPr>
      <w:bookmarkStart w:id="44" w:name="_Toc111637899"/>
      <w:bookmarkStart w:id="45" w:name="_Toc107312509"/>
      <w:r>
        <w:rPr>
          <w:rFonts w:hint="eastAsia" w:eastAsia="楷体_GB2312"/>
          <w:b/>
          <w:szCs w:val="40"/>
        </w:rPr>
        <w:t>（三）重视项目管理环节，推动项目合规性</w:t>
      </w:r>
      <w:bookmarkEnd w:id="44"/>
      <w:bookmarkEnd w:id="45"/>
    </w:p>
    <w:p>
      <w:pPr>
        <w:ind w:firstLine="643"/>
      </w:pPr>
      <w:r>
        <w:rPr>
          <w:rFonts w:hint="eastAsia"/>
          <w:b/>
          <w:bCs/>
        </w:rPr>
        <w:t>一是</w:t>
      </w:r>
      <w:r>
        <w:rPr>
          <w:rFonts w:hint="eastAsia"/>
        </w:rPr>
        <w:t>在项目立项之初，中心就组织了项目相关负责人进行项目立项讨论，并提请中心领导批示，领导班子组织召开了中心立项会议，经过广泛的讨论及严谨论证后确定项目立项实施，且经费测算结合了项目特点，并参照了往年项目经费使用情况，预算编制合理。</w:t>
      </w:r>
    </w:p>
    <w:p>
      <w:pPr>
        <w:ind w:firstLine="643"/>
      </w:pPr>
      <w:r>
        <w:rPr>
          <w:rFonts w:hint="eastAsia"/>
          <w:b/>
          <w:bCs/>
        </w:rPr>
        <w:t>二是</w:t>
      </w:r>
      <w:r>
        <w:rPr>
          <w:rFonts w:hint="eastAsia"/>
        </w:rPr>
        <w:t>在项目实施过程中，中心严格按照区财政的要求，及时做好项目绩效目标监控工作，对项目进度进行动态监控，保障了项目进度的合理推进与资金的合规、及时支出与使用。</w:t>
      </w:r>
    </w:p>
    <w:p>
      <w:pPr>
        <w:ind w:firstLine="643"/>
      </w:pPr>
      <w:r>
        <w:rPr>
          <w:rFonts w:hint="eastAsia"/>
          <w:b/>
          <w:bCs/>
        </w:rPr>
        <w:t>三是</w:t>
      </w:r>
      <w:r>
        <w:rPr>
          <w:rFonts w:hint="eastAsia"/>
        </w:rPr>
        <w:t>在项目完成后，中心对项目进行了验收，并形成了相应的项目验收表，实现了项目工作的闭环管理，为下一年的项目立项、预算编报、项目实施、问题解决等方面提供经验性参考。</w:t>
      </w:r>
    </w:p>
    <w:p>
      <w:pPr>
        <w:spacing w:line="600" w:lineRule="exact"/>
        <w:ind w:firstLine="640"/>
        <w:outlineLvl w:val="0"/>
        <w:rPr>
          <w:rFonts w:ascii="黑体" w:hAnsi="黑体" w:eastAsia="黑体"/>
        </w:rPr>
      </w:pPr>
      <w:bookmarkStart w:id="46" w:name="_Toc111637900"/>
      <w:r>
        <w:rPr>
          <w:rFonts w:hint="eastAsia" w:ascii="黑体" w:hAnsi="黑体" w:eastAsia="黑体"/>
        </w:rPr>
        <w:t>六、问题分析与总结</w:t>
      </w:r>
      <w:bookmarkEnd w:id="46"/>
    </w:p>
    <w:p>
      <w:pPr>
        <w:pStyle w:val="2"/>
        <w:ind w:firstLine="643"/>
        <w:rPr>
          <w:rFonts w:eastAsia="楷体_GB2312"/>
          <w:b/>
          <w:szCs w:val="40"/>
        </w:rPr>
      </w:pPr>
      <w:bookmarkStart w:id="47" w:name="_Toc111637901"/>
      <w:r>
        <w:rPr>
          <w:rFonts w:hint="eastAsia" w:eastAsia="楷体_GB2312"/>
          <w:b/>
          <w:szCs w:val="40"/>
        </w:rPr>
        <w:t>（一）款项支付规范性有待进一步</w:t>
      </w:r>
      <w:bookmarkEnd w:id="47"/>
      <w:r>
        <w:rPr>
          <w:rFonts w:hint="eastAsia" w:eastAsia="楷体_GB2312"/>
          <w:b/>
          <w:szCs w:val="40"/>
        </w:rPr>
        <w:t>提升</w:t>
      </w:r>
    </w:p>
    <w:p>
      <w:pPr>
        <w:ind w:firstLine="640"/>
      </w:pPr>
      <w:r>
        <w:rPr>
          <w:rFonts w:hint="eastAsia"/>
        </w:rPr>
        <w:t>经调研了解</w:t>
      </w:r>
      <w:r>
        <w:rPr>
          <w:rFonts w:hint="eastAsia" w:ascii="仿宋_GB2312"/>
        </w:rPr>
        <w:t>，</w:t>
      </w:r>
      <w:r>
        <w:rPr>
          <w:rFonts w:ascii="仿宋_GB2312"/>
        </w:rPr>
        <w:t>2021</w:t>
      </w:r>
      <w:r>
        <w:rPr>
          <w:rFonts w:hint="eastAsia"/>
        </w:rPr>
        <w:t>年“信息系统维护”项目部分款项未按照合同约定时限、约定支付方式付款，存在违约风险。</w:t>
      </w:r>
    </w:p>
    <w:p>
      <w:pPr>
        <w:ind w:firstLine="643"/>
        <w:rPr>
          <w:rFonts w:ascii="仿宋_GB2312"/>
        </w:rPr>
      </w:pPr>
      <w:r>
        <w:rPr>
          <w:rFonts w:hint="eastAsia"/>
          <w:b/>
          <w:bCs/>
        </w:rPr>
        <w:t>一是</w:t>
      </w:r>
      <w:r>
        <w:rPr>
          <w:rFonts w:hint="eastAsia"/>
        </w:rPr>
        <w:t>财务服务平台系统改造技术服务项目首期款未按照合同规定的十五个工作日进行支付。其中</w:t>
      </w:r>
      <w:r>
        <w:rPr>
          <w:rFonts w:hint="eastAsia" w:ascii="仿宋_GB2312"/>
        </w:rPr>
        <w:t>，合同签订日期为11月16日，而实际付款日期为12月20日，远超过十五个工作日。</w:t>
      </w:r>
    </w:p>
    <w:p>
      <w:pPr>
        <w:ind w:firstLine="643"/>
        <w:rPr>
          <w:rFonts w:ascii="仿宋_GB2312"/>
        </w:rPr>
      </w:pPr>
      <w:r>
        <w:rPr>
          <w:rFonts w:hint="eastAsia" w:ascii="仿宋_GB2312"/>
          <w:b/>
          <w:bCs/>
        </w:rPr>
        <w:t>二是</w:t>
      </w:r>
      <w:r>
        <w:rPr>
          <w:rFonts w:hint="eastAsia" w:ascii="仿宋_GB2312"/>
        </w:rPr>
        <w:t>在财务电算化系统运维服务项目中，</w:t>
      </w:r>
      <w:r>
        <w:rPr>
          <w:rFonts w:hint="eastAsia"/>
        </w:rPr>
        <w:t>合同规定需按月付款，每月支付北京中科江南信息技术股份有限公司</w:t>
      </w:r>
      <w:r>
        <w:rPr>
          <w:rFonts w:hint="eastAsia" w:ascii="仿宋_GB2312"/>
        </w:rPr>
        <w:t>28,000.00元。然而在2021年</w:t>
      </w:r>
      <w:r>
        <w:rPr>
          <w:rFonts w:ascii="仿宋_GB2312"/>
        </w:rPr>
        <w:t>3</w:t>
      </w:r>
      <w:r>
        <w:rPr>
          <w:rFonts w:hint="eastAsia" w:ascii="仿宋_GB2312"/>
        </w:rPr>
        <w:t>月记账</w:t>
      </w:r>
      <w:r>
        <w:rPr>
          <w:rFonts w:ascii="仿宋_GB2312"/>
        </w:rPr>
        <w:t>27</w:t>
      </w:r>
      <w:r>
        <w:rPr>
          <w:rFonts w:hint="eastAsia" w:ascii="仿宋_GB2312"/>
        </w:rPr>
        <w:t>号凭证中，于3月10日集中分三次开了一、二、三月的发票，并一同付款，凭证中无延迟付款的相关说明；在2021年</w:t>
      </w:r>
      <w:r>
        <w:rPr>
          <w:rFonts w:ascii="仿宋_GB2312"/>
        </w:rPr>
        <w:t>9</w:t>
      </w:r>
      <w:r>
        <w:rPr>
          <w:rFonts w:hint="eastAsia" w:ascii="仿宋_GB2312"/>
        </w:rPr>
        <w:t>月记账</w:t>
      </w:r>
      <w:r>
        <w:rPr>
          <w:rFonts w:ascii="仿宋_GB2312"/>
        </w:rPr>
        <w:t>46</w:t>
      </w:r>
      <w:r>
        <w:rPr>
          <w:rFonts w:hint="eastAsia" w:ascii="仿宋_GB2312"/>
        </w:rPr>
        <w:t>号凭证中，于9月15日集中分二次开了八、九月的发票，并一同付款，凭证中无延迟付款的相关说明。</w:t>
      </w:r>
    </w:p>
    <w:p>
      <w:pPr>
        <w:pStyle w:val="2"/>
        <w:ind w:firstLine="643"/>
        <w:rPr>
          <w:rFonts w:eastAsia="楷体_GB2312"/>
          <w:b/>
          <w:szCs w:val="40"/>
        </w:rPr>
      </w:pPr>
      <w:bookmarkStart w:id="48" w:name="_Toc111637902"/>
      <w:r>
        <w:rPr>
          <w:rFonts w:hint="eastAsia" w:eastAsia="楷体_GB2312"/>
          <w:b/>
          <w:szCs w:val="40"/>
        </w:rPr>
        <w:t>（二）档案管理规范性有待进一步提升</w:t>
      </w:r>
      <w:bookmarkEnd w:id="48"/>
    </w:p>
    <w:p>
      <w:pPr>
        <w:ind w:firstLine="640"/>
      </w:pPr>
      <w:r>
        <w:rPr>
          <w:rFonts w:hint="eastAsia"/>
        </w:rPr>
        <w:t>经调研了解，</w:t>
      </w:r>
      <w:r>
        <w:rPr>
          <w:rFonts w:hint="eastAsia" w:ascii="仿宋_GB2312"/>
        </w:rPr>
        <w:t>2021</w:t>
      </w:r>
      <w:r>
        <w:rPr>
          <w:rFonts w:hint="eastAsia"/>
        </w:rPr>
        <w:t>年“信息系统维护”项目在档案管理方面存在资料信息不一致、存档不完整的问题。</w:t>
      </w:r>
    </w:p>
    <w:p>
      <w:pPr>
        <w:ind w:firstLine="643"/>
      </w:pPr>
      <w:r>
        <w:rPr>
          <w:rFonts w:hint="eastAsia"/>
          <w:b/>
          <w:bCs/>
        </w:rPr>
        <w:t>一是</w:t>
      </w:r>
      <w:r>
        <w:rPr>
          <w:rFonts w:hint="eastAsia"/>
        </w:rPr>
        <w:t>在财务电算化系统运维服务项目中，中心需每月对供应商的履约情况进行验收，并按月填制履约验收单。中心</w:t>
      </w:r>
      <w:r>
        <w:rPr>
          <w:rFonts w:hint="eastAsia" w:ascii="仿宋_GB2312"/>
        </w:rPr>
        <w:t>2021年3月记账27号凭证中，附有1-</w:t>
      </w:r>
      <w:r>
        <w:rPr>
          <w:rFonts w:ascii="仿宋_GB2312"/>
        </w:rPr>
        <w:t>3</w:t>
      </w:r>
      <w:r>
        <w:rPr>
          <w:rFonts w:hint="eastAsia" w:ascii="仿宋_GB2312"/>
        </w:rPr>
        <w:t>月份的履约验收单，并且填有精确至月份的日期，然而在稽核部的存档材料中，1-</w:t>
      </w:r>
      <w:r>
        <w:rPr>
          <w:rFonts w:ascii="仿宋_GB2312"/>
        </w:rPr>
        <w:t>12</w:t>
      </w:r>
      <w:r>
        <w:rPr>
          <w:rFonts w:hint="eastAsia" w:ascii="仿宋_GB2312"/>
        </w:rPr>
        <w:t>月的履约验收单中均无验收日期。各验收材料间的逻辑一致性欠缺，并且验收材料不严谨，难以反映单位是否按时、按要求对服务项目进行有效验收。</w:t>
      </w:r>
    </w:p>
    <w:p>
      <w:pPr>
        <w:tabs>
          <w:tab w:val="left" w:pos="700"/>
        </w:tabs>
        <w:ind w:firstLine="643"/>
        <w:rPr>
          <w:color w:val="FF0000"/>
        </w:rPr>
      </w:pPr>
      <w:r>
        <w:rPr>
          <w:rFonts w:hint="eastAsia" w:ascii="仿宋_GB2312"/>
          <w:b/>
          <w:szCs w:val="40"/>
        </w:rPr>
        <w:t>二是</w:t>
      </w:r>
      <w:r>
        <w:rPr>
          <w:rFonts w:hint="eastAsia"/>
        </w:rPr>
        <w:t>中心现存材料仅为项目立项会议纪要、项目合同、合同审批单、法律意见书、验收单及报账材料，</w:t>
      </w:r>
      <w:r>
        <w:rPr>
          <w:rFonts w:hint="eastAsia"/>
          <w:color w:val="000000" w:themeColor="text1"/>
          <w14:textFill>
            <w14:solidFill>
              <w14:schemeClr w14:val="tx1"/>
            </w14:solidFill>
          </w14:textFill>
        </w:rPr>
        <w:t>而项目实施文件如系统培训材料等均未妥善存档。</w:t>
      </w:r>
    </w:p>
    <w:p>
      <w:pPr>
        <w:spacing w:line="600" w:lineRule="exact"/>
        <w:ind w:firstLine="640"/>
        <w:outlineLvl w:val="0"/>
        <w:rPr>
          <w:rFonts w:ascii="黑体" w:hAnsi="黑体" w:eastAsia="黑体"/>
        </w:rPr>
      </w:pPr>
      <w:bookmarkStart w:id="49" w:name="_Toc111637904"/>
      <w:r>
        <w:rPr>
          <w:rFonts w:hint="eastAsia" w:ascii="黑体" w:hAnsi="黑体" w:eastAsia="黑体"/>
        </w:rPr>
        <w:t>七、改进建议</w:t>
      </w:r>
      <w:bookmarkEnd w:id="49"/>
    </w:p>
    <w:p>
      <w:pPr>
        <w:pStyle w:val="2"/>
        <w:ind w:firstLine="643"/>
        <w:rPr>
          <w:rFonts w:eastAsia="楷体_GB2312"/>
          <w:b/>
          <w:szCs w:val="40"/>
        </w:rPr>
      </w:pPr>
      <w:bookmarkStart w:id="50" w:name="_Toc111637905"/>
      <w:r>
        <w:rPr>
          <w:rFonts w:hint="eastAsia" w:eastAsia="楷体_GB2312"/>
          <w:b/>
          <w:szCs w:val="40"/>
        </w:rPr>
        <w:t>（一）加强资金支付管理，</w:t>
      </w:r>
      <w:bookmarkEnd w:id="50"/>
      <w:r>
        <w:rPr>
          <w:rFonts w:hint="eastAsia" w:eastAsia="楷体_GB2312"/>
          <w:b/>
          <w:szCs w:val="40"/>
        </w:rPr>
        <w:t>规避违约风险</w:t>
      </w:r>
    </w:p>
    <w:p>
      <w:pPr>
        <w:tabs>
          <w:tab w:val="left" w:pos="700"/>
        </w:tabs>
        <w:ind w:firstLine="640"/>
      </w:pPr>
      <w:r>
        <w:rPr>
          <w:rFonts w:hint="eastAsia"/>
        </w:rPr>
        <w:t>建议在后续项目工作开展中，</w:t>
      </w:r>
      <w:r>
        <w:rPr>
          <w:rFonts w:hint="eastAsia" w:ascii="仿宋_GB2312" w:hAnsi="仿宋_GB2312" w:cs="仿宋_GB2312"/>
        </w:rPr>
        <w:t>项目经办人严格按照合同约定的支付期限、支付方式，提前准备经费支付申请及报销材料，及时开展报账审批程序，确保资金支付期限、支付方式符合合同约定。</w:t>
      </w:r>
    </w:p>
    <w:p>
      <w:pPr>
        <w:pStyle w:val="2"/>
        <w:ind w:firstLine="643"/>
        <w:rPr>
          <w:rFonts w:eastAsia="楷体_GB2312"/>
          <w:b/>
          <w:szCs w:val="40"/>
        </w:rPr>
      </w:pPr>
      <w:bookmarkStart w:id="51" w:name="_Toc111637906"/>
      <w:r>
        <w:rPr>
          <w:rFonts w:hint="eastAsia" w:eastAsia="楷体_GB2312"/>
          <w:b/>
          <w:szCs w:val="40"/>
        </w:rPr>
        <w:t>（二）</w:t>
      </w:r>
      <w:bookmarkEnd w:id="51"/>
      <w:r>
        <w:rPr>
          <w:rFonts w:hint="eastAsia" w:eastAsia="楷体_GB2312"/>
          <w:b/>
          <w:szCs w:val="40"/>
        </w:rPr>
        <w:t>加大档案规整力度，完整存档资料</w:t>
      </w:r>
    </w:p>
    <w:p>
      <w:pPr>
        <w:tabs>
          <w:tab w:val="left" w:pos="700"/>
        </w:tabs>
        <w:ind w:firstLine="640"/>
      </w:pPr>
      <w:r>
        <w:rPr>
          <w:rFonts w:hint="eastAsia"/>
        </w:rPr>
        <w:t>建议在后续项目工作开展中，项目责任部门及经办人强化留痕意识，及时收集整理项目采购过程、合同签订、项目实施、验收支付等各环节的相关材料，并妥善做好资料的存档工作，同时，在项目实施结束后，重复核查资料情况，查漏补缺，确保资料信息一致、存档完整。</w:t>
      </w:r>
    </w:p>
    <w:p>
      <w:pPr>
        <w:ind w:firstLine="640"/>
      </w:pPr>
    </w:p>
    <w:p>
      <w:pPr>
        <w:ind w:firstLine="640"/>
      </w:pPr>
    </w:p>
    <w:p>
      <w:pPr>
        <w:ind w:firstLine="640"/>
      </w:pPr>
      <w:r>
        <w:rPr>
          <w:rFonts w:hint="eastAsia"/>
        </w:rPr>
        <w:t>附件：</w:t>
      </w:r>
      <w:bookmarkStart w:id="52" w:name="_Hlk112720259"/>
      <w:r>
        <w:rPr>
          <w:rFonts w:hint="eastAsia"/>
        </w:rPr>
        <w:t>中心</w:t>
      </w:r>
      <w:r>
        <w:rPr>
          <w:rFonts w:ascii="仿宋_GB2312"/>
        </w:rPr>
        <w:t>2021</w:t>
      </w:r>
      <w:r>
        <w:rPr>
          <w:rFonts w:hint="eastAsia"/>
        </w:rPr>
        <w:t>年度信息系统维护项目支出绩效评价指标体系</w:t>
      </w:r>
      <w:bookmarkEnd w:id="52"/>
    </w:p>
    <w:p>
      <w:pPr>
        <w:widowControl/>
        <w:spacing w:line="240" w:lineRule="auto"/>
        <w:ind w:firstLine="0" w:firstLineChars="0"/>
        <w:jc w:val="left"/>
        <w:sectPr>
          <w:footerReference r:id="rId11" w:type="default"/>
          <w:pgSz w:w="11906" w:h="16838"/>
          <w:pgMar w:top="1440" w:right="1800" w:bottom="1440" w:left="1800" w:header="851" w:footer="992" w:gutter="0"/>
          <w:pgNumType w:start="1"/>
          <w:cols w:space="425" w:num="1"/>
          <w:docGrid w:type="lines" w:linePitch="312" w:charSpace="0"/>
        </w:sectPr>
      </w:pPr>
    </w:p>
    <w:tbl>
      <w:tblPr>
        <w:tblStyle w:val="14"/>
        <w:tblW w:w="5000" w:type="pct"/>
        <w:tblInd w:w="0" w:type="dxa"/>
        <w:tblLayout w:type="autofit"/>
        <w:tblCellMar>
          <w:top w:w="0" w:type="dxa"/>
          <w:left w:w="108" w:type="dxa"/>
          <w:bottom w:w="0" w:type="dxa"/>
          <w:right w:w="108" w:type="dxa"/>
        </w:tblCellMar>
      </w:tblPr>
      <w:tblGrid>
        <w:gridCol w:w="708"/>
        <w:gridCol w:w="708"/>
        <w:gridCol w:w="709"/>
        <w:gridCol w:w="709"/>
        <w:gridCol w:w="1256"/>
        <w:gridCol w:w="754"/>
        <w:gridCol w:w="2441"/>
        <w:gridCol w:w="4950"/>
        <w:gridCol w:w="859"/>
        <w:gridCol w:w="1080"/>
      </w:tblGrid>
      <w:tr>
        <w:tblPrEx>
          <w:tblCellMar>
            <w:top w:w="0" w:type="dxa"/>
            <w:left w:w="108" w:type="dxa"/>
            <w:bottom w:w="0" w:type="dxa"/>
            <w:right w:w="108" w:type="dxa"/>
          </w:tblCellMar>
        </w:tblPrEx>
        <w:trPr>
          <w:trHeight w:val="960" w:hRule="atLeast"/>
        </w:trPr>
        <w:tc>
          <w:tcPr>
            <w:tcW w:w="5000" w:type="pct"/>
            <w:gridSpan w:val="10"/>
            <w:tcBorders>
              <w:left w:val="nil"/>
              <w:bottom w:val="single" w:color="auto" w:sz="4" w:space="0"/>
            </w:tcBorders>
            <w:shd w:val="clear" w:color="auto" w:fill="auto"/>
            <w:noWrap/>
            <w:vAlign w:val="center"/>
          </w:tcPr>
          <w:p>
            <w:pPr>
              <w:spacing w:line="600" w:lineRule="exact"/>
              <w:ind w:firstLine="640"/>
              <w:outlineLvl w:val="0"/>
              <w:rPr>
                <w:rFonts w:ascii="黑体" w:hAnsi="黑体" w:eastAsia="黑体" w:cs="宋体"/>
                <w:color w:val="000000"/>
                <w:kern w:val="0"/>
                <w:szCs w:val="32"/>
              </w:rPr>
            </w:pPr>
            <w:r>
              <w:rPr>
                <w:rFonts w:hint="eastAsia" w:ascii="黑体" w:hAnsi="黑体" w:eastAsia="黑体"/>
              </w:rPr>
              <w:t>附件：</w:t>
            </w:r>
            <w:r>
              <w:rPr>
                <w:rFonts w:ascii="黑体" w:hAnsi="黑体" w:eastAsia="黑体"/>
              </w:rPr>
              <w:t xml:space="preserve">  </w:t>
            </w:r>
            <w:r>
              <w:rPr>
                <w:rFonts w:ascii="黑体" w:hAnsi="黑体" w:eastAsia="黑体" w:cs="宋体"/>
                <w:color w:val="000000"/>
                <w:kern w:val="0"/>
                <w:szCs w:val="32"/>
              </w:rPr>
              <w:t xml:space="preserve">            </w:t>
            </w:r>
          </w:p>
          <w:p>
            <w:pPr>
              <w:widowControl/>
              <w:spacing w:line="240" w:lineRule="auto"/>
              <w:ind w:firstLine="0" w:firstLineChars="0"/>
              <w:jc w:val="center"/>
              <w:rPr>
                <w:rFonts w:ascii="方正小标宋简体" w:hAnsi="Times New Roman" w:eastAsia="方正小标宋简体" w:cs="Times New Roman"/>
                <w:kern w:val="0"/>
                <w:szCs w:val="32"/>
              </w:rPr>
            </w:pPr>
            <w:r>
              <w:rPr>
                <w:rFonts w:hint="eastAsia" w:ascii="方正小标宋简体" w:hAnsi="宋体" w:eastAsia="方正小标宋简体" w:cs="宋体"/>
                <w:color w:val="000000"/>
                <w:kern w:val="0"/>
                <w:szCs w:val="32"/>
              </w:rPr>
              <w:t>中心</w:t>
            </w:r>
            <w:r>
              <w:rPr>
                <w:rFonts w:ascii="方正小标宋简体" w:hAnsi="宋体" w:eastAsia="方正小标宋简体" w:cs="宋体"/>
                <w:color w:val="000000"/>
                <w:kern w:val="0"/>
                <w:szCs w:val="32"/>
              </w:rPr>
              <w:t>2021年度信息系统维护</w:t>
            </w:r>
            <w:r>
              <w:rPr>
                <w:rFonts w:hint="eastAsia" w:ascii="方正小标宋简体" w:hAnsi="宋体" w:eastAsia="方正小标宋简体" w:cs="宋体"/>
                <w:color w:val="000000"/>
                <w:kern w:val="0"/>
                <w:szCs w:val="32"/>
              </w:rPr>
              <w:t>项目支出绩效评价指标体系</w:t>
            </w:r>
          </w:p>
        </w:tc>
      </w:tr>
      <w:tr>
        <w:tblPrEx>
          <w:tblCellMar>
            <w:top w:w="0" w:type="dxa"/>
            <w:left w:w="108" w:type="dxa"/>
            <w:bottom w:w="0" w:type="dxa"/>
            <w:right w:w="108" w:type="dxa"/>
          </w:tblCellMar>
        </w:tblPrEx>
        <w:trPr>
          <w:trHeight w:val="540" w:hRule="atLeast"/>
        </w:trPr>
        <w:tc>
          <w:tcPr>
            <w:tcW w:w="499" w:type="pct"/>
            <w:gridSpan w:val="2"/>
            <w:tcBorders>
              <w:top w:val="single" w:color="auto" w:sz="4" w:space="0"/>
              <w:left w:val="single" w:color="auto" w:sz="4" w:space="0"/>
              <w:bottom w:val="single" w:color="auto" w:sz="4" w:space="0"/>
              <w:right w:val="single" w:color="auto" w:sz="4" w:space="0"/>
            </w:tcBorders>
            <w:shd w:val="clear" w:color="auto" w:fill="D0CECE" w:themeFill="background2" w:themeFillShade="E6"/>
            <w:noWrap/>
            <w:vAlign w:val="center"/>
          </w:tcPr>
          <w:p>
            <w:pPr>
              <w:widowControl/>
              <w:spacing w:line="240" w:lineRule="auto"/>
              <w:ind w:firstLine="0" w:firstLineChars="0"/>
              <w:jc w:val="center"/>
              <w:rPr>
                <w:rFonts w:ascii="仿宋_GB2312" w:hAnsi="宋体" w:cs="宋体"/>
                <w:b/>
                <w:bCs/>
                <w:kern w:val="0"/>
                <w:sz w:val="21"/>
                <w:szCs w:val="21"/>
              </w:rPr>
            </w:pPr>
            <w:r>
              <w:rPr>
                <w:rFonts w:hint="eastAsia" w:ascii="仿宋_GB2312" w:hAnsi="宋体" w:cs="宋体"/>
                <w:b/>
                <w:bCs/>
                <w:kern w:val="0"/>
                <w:sz w:val="21"/>
                <w:szCs w:val="21"/>
              </w:rPr>
              <w:t>一级指标</w:t>
            </w:r>
          </w:p>
        </w:tc>
        <w:tc>
          <w:tcPr>
            <w:tcW w:w="500" w:type="pct"/>
            <w:gridSpan w:val="2"/>
            <w:tcBorders>
              <w:top w:val="single" w:color="auto" w:sz="4" w:space="0"/>
              <w:left w:val="nil"/>
              <w:bottom w:val="single" w:color="auto" w:sz="4" w:space="0"/>
              <w:right w:val="single" w:color="auto" w:sz="4" w:space="0"/>
            </w:tcBorders>
            <w:shd w:val="clear" w:color="auto" w:fill="D0CECE" w:themeFill="background2" w:themeFillShade="E6"/>
            <w:noWrap/>
            <w:vAlign w:val="center"/>
          </w:tcPr>
          <w:p>
            <w:pPr>
              <w:widowControl/>
              <w:spacing w:line="240" w:lineRule="auto"/>
              <w:ind w:firstLine="0" w:firstLineChars="0"/>
              <w:jc w:val="center"/>
              <w:rPr>
                <w:rFonts w:ascii="仿宋_GB2312" w:hAnsi="宋体" w:cs="宋体"/>
                <w:b/>
                <w:bCs/>
                <w:kern w:val="0"/>
                <w:sz w:val="21"/>
                <w:szCs w:val="21"/>
              </w:rPr>
            </w:pPr>
            <w:r>
              <w:rPr>
                <w:rFonts w:hint="eastAsia" w:ascii="仿宋_GB2312" w:hAnsi="宋体" w:cs="宋体"/>
                <w:b/>
                <w:bCs/>
                <w:kern w:val="0"/>
                <w:sz w:val="21"/>
                <w:szCs w:val="21"/>
              </w:rPr>
              <w:t>二级指标</w:t>
            </w:r>
          </w:p>
        </w:tc>
        <w:tc>
          <w:tcPr>
            <w:tcW w:w="709" w:type="pct"/>
            <w:gridSpan w:val="2"/>
            <w:tcBorders>
              <w:top w:val="single" w:color="auto" w:sz="4" w:space="0"/>
              <w:left w:val="nil"/>
              <w:bottom w:val="single" w:color="auto" w:sz="4" w:space="0"/>
              <w:right w:val="single" w:color="auto" w:sz="4" w:space="0"/>
            </w:tcBorders>
            <w:shd w:val="clear" w:color="auto" w:fill="D0CECE" w:themeFill="background2" w:themeFillShade="E6"/>
            <w:noWrap/>
            <w:vAlign w:val="center"/>
          </w:tcPr>
          <w:p>
            <w:pPr>
              <w:widowControl/>
              <w:spacing w:line="240" w:lineRule="auto"/>
              <w:ind w:firstLine="0" w:firstLineChars="0"/>
              <w:jc w:val="center"/>
              <w:rPr>
                <w:rFonts w:ascii="仿宋_GB2312" w:hAnsi="宋体" w:cs="宋体"/>
                <w:b/>
                <w:bCs/>
                <w:kern w:val="0"/>
                <w:sz w:val="21"/>
                <w:szCs w:val="21"/>
              </w:rPr>
            </w:pPr>
            <w:r>
              <w:rPr>
                <w:rFonts w:hint="eastAsia" w:ascii="仿宋_GB2312" w:hAnsi="宋体" w:cs="宋体"/>
                <w:b/>
                <w:bCs/>
                <w:kern w:val="0"/>
                <w:sz w:val="21"/>
                <w:szCs w:val="21"/>
              </w:rPr>
              <w:t>三级指标</w:t>
            </w:r>
          </w:p>
        </w:tc>
        <w:tc>
          <w:tcPr>
            <w:tcW w:w="861" w:type="pct"/>
            <w:vMerge w:val="restart"/>
            <w:tcBorders>
              <w:top w:val="single" w:color="auto" w:sz="4" w:space="0"/>
              <w:left w:val="single" w:color="auto" w:sz="4" w:space="0"/>
              <w:bottom w:val="single" w:color="auto" w:sz="4" w:space="0"/>
              <w:right w:val="single" w:color="auto" w:sz="4" w:space="0"/>
            </w:tcBorders>
            <w:shd w:val="clear" w:color="auto" w:fill="D0CECE" w:themeFill="background2" w:themeFillShade="E6"/>
            <w:vAlign w:val="center"/>
          </w:tcPr>
          <w:p>
            <w:pPr>
              <w:widowControl/>
              <w:spacing w:line="240" w:lineRule="auto"/>
              <w:ind w:firstLine="0" w:firstLineChars="0"/>
              <w:jc w:val="center"/>
              <w:rPr>
                <w:rFonts w:ascii="仿宋_GB2312" w:hAnsi="宋体" w:cs="宋体"/>
                <w:b/>
                <w:bCs/>
                <w:kern w:val="0"/>
                <w:sz w:val="21"/>
                <w:szCs w:val="21"/>
              </w:rPr>
            </w:pPr>
            <w:r>
              <w:rPr>
                <w:rFonts w:hint="eastAsia" w:ascii="仿宋_GB2312" w:hAnsi="宋体" w:cs="宋体"/>
                <w:b/>
                <w:bCs/>
                <w:kern w:val="0"/>
                <w:sz w:val="21"/>
                <w:szCs w:val="21"/>
              </w:rPr>
              <w:t>指标解释</w:t>
            </w:r>
          </w:p>
        </w:tc>
        <w:tc>
          <w:tcPr>
            <w:tcW w:w="1746" w:type="pct"/>
            <w:vMerge w:val="restart"/>
            <w:tcBorders>
              <w:top w:val="single" w:color="auto" w:sz="4" w:space="0"/>
              <w:left w:val="single" w:color="auto" w:sz="4" w:space="0"/>
              <w:bottom w:val="single" w:color="auto" w:sz="4" w:space="0"/>
              <w:right w:val="single" w:color="auto" w:sz="4" w:space="0"/>
            </w:tcBorders>
            <w:shd w:val="clear" w:color="auto" w:fill="D0CECE" w:themeFill="background2" w:themeFillShade="E6"/>
            <w:vAlign w:val="center"/>
          </w:tcPr>
          <w:p>
            <w:pPr>
              <w:widowControl/>
              <w:spacing w:line="240" w:lineRule="auto"/>
              <w:ind w:firstLine="0" w:firstLineChars="0"/>
              <w:jc w:val="center"/>
              <w:rPr>
                <w:rFonts w:ascii="仿宋_GB2312" w:hAnsi="宋体" w:cs="宋体"/>
                <w:b/>
                <w:bCs/>
                <w:kern w:val="0"/>
                <w:sz w:val="21"/>
                <w:szCs w:val="21"/>
              </w:rPr>
            </w:pPr>
            <w:r>
              <w:rPr>
                <w:rFonts w:hint="eastAsia" w:ascii="仿宋_GB2312" w:hAnsi="宋体" w:cs="宋体"/>
                <w:b/>
                <w:bCs/>
                <w:kern w:val="0"/>
                <w:sz w:val="21"/>
                <w:szCs w:val="21"/>
              </w:rPr>
              <w:t>评分标准</w:t>
            </w:r>
          </w:p>
        </w:tc>
        <w:tc>
          <w:tcPr>
            <w:tcW w:w="303" w:type="pct"/>
            <w:vMerge w:val="restart"/>
            <w:tcBorders>
              <w:top w:val="single" w:color="auto" w:sz="4" w:space="0"/>
              <w:left w:val="single" w:color="auto" w:sz="4" w:space="0"/>
              <w:bottom w:val="single" w:color="auto" w:sz="4" w:space="0"/>
              <w:right w:val="single" w:color="auto" w:sz="4" w:space="0"/>
            </w:tcBorders>
            <w:shd w:val="clear" w:color="auto" w:fill="D0CECE" w:themeFill="background2" w:themeFillShade="E6"/>
            <w:vAlign w:val="center"/>
          </w:tcPr>
          <w:p>
            <w:pPr>
              <w:widowControl/>
              <w:spacing w:line="240" w:lineRule="auto"/>
              <w:ind w:firstLine="0" w:firstLineChars="0"/>
              <w:jc w:val="center"/>
              <w:rPr>
                <w:rFonts w:ascii="仿宋_GB2312" w:hAnsi="宋体" w:cs="宋体"/>
                <w:b/>
                <w:bCs/>
                <w:kern w:val="0"/>
                <w:sz w:val="21"/>
                <w:szCs w:val="21"/>
              </w:rPr>
            </w:pPr>
            <w:r>
              <w:rPr>
                <w:rFonts w:hint="eastAsia" w:ascii="仿宋_GB2312" w:hAnsi="宋体" w:cs="宋体"/>
                <w:b/>
                <w:bCs/>
                <w:kern w:val="0"/>
                <w:sz w:val="21"/>
                <w:szCs w:val="21"/>
              </w:rPr>
              <w:t>得分</w:t>
            </w:r>
          </w:p>
        </w:tc>
        <w:tc>
          <w:tcPr>
            <w:tcW w:w="381" w:type="pct"/>
            <w:vMerge w:val="restart"/>
            <w:tcBorders>
              <w:top w:val="single" w:color="auto" w:sz="4" w:space="0"/>
              <w:left w:val="single" w:color="auto" w:sz="4" w:space="0"/>
              <w:bottom w:val="single" w:color="auto" w:sz="4" w:space="0"/>
              <w:right w:val="single" w:color="auto" w:sz="4" w:space="0"/>
            </w:tcBorders>
            <w:shd w:val="clear" w:color="auto" w:fill="D0CECE" w:themeFill="background2" w:themeFillShade="E6"/>
            <w:vAlign w:val="center"/>
          </w:tcPr>
          <w:p>
            <w:pPr>
              <w:widowControl/>
              <w:spacing w:line="240" w:lineRule="auto"/>
              <w:ind w:firstLine="0" w:firstLineChars="0"/>
              <w:jc w:val="center"/>
              <w:rPr>
                <w:rFonts w:ascii="仿宋_GB2312" w:hAnsi="宋体" w:cs="宋体"/>
                <w:b/>
                <w:bCs/>
                <w:kern w:val="0"/>
                <w:sz w:val="21"/>
                <w:szCs w:val="21"/>
              </w:rPr>
            </w:pPr>
            <w:r>
              <w:rPr>
                <w:rFonts w:hint="eastAsia" w:ascii="仿宋_GB2312" w:hAnsi="宋体" w:cs="宋体"/>
                <w:b/>
                <w:bCs/>
                <w:kern w:val="0"/>
                <w:sz w:val="21"/>
                <w:szCs w:val="21"/>
              </w:rPr>
              <w:t>备注</w:t>
            </w:r>
          </w:p>
        </w:tc>
      </w:tr>
      <w:tr>
        <w:tblPrEx>
          <w:tblCellMar>
            <w:top w:w="0" w:type="dxa"/>
            <w:left w:w="108" w:type="dxa"/>
            <w:bottom w:w="0" w:type="dxa"/>
            <w:right w:w="108" w:type="dxa"/>
          </w:tblCellMar>
        </w:tblPrEx>
        <w:trPr>
          <w:trHeight w:val="640" w:hRule="atLeast"/>
        </w:trPr>
        <w:tc>
          <w:tcPr>
            <w:tcW w:w="250" w:type="pct"/>
            <w:tcBorders>
              <w:top w:val="single" w:color="auto" w:sz="4" w:space="0"/>
              <w:left w:val="single" w:color="auto" w:sz="4" w:space="0"/>
              <w:bottom w:val="single" w:color="auto" w:sz="4" w:space="0"/>
              <w:right w:val="single" w:color="auto" w:sz="4" w:space="0"/>
            </w:tcBorders>
            <w:shd w:val="clear" w:color="auto" w:fill="D0CECE" w:themeFill="background2" w:themeFillShade="E6"/>
            <w:noWrap/>
            <w:vAlign w:val="center"/>
          </w:tcPr>
          <w:p>
            <w:pPr>
              <w:widowControl/>
              <w:spacing w:line="240" w:lineRule="auto"/>
              <w:ind w:firstLine="0" w:firstLineChars="0"/>
              <w:jc w:val="center"/>
              <w:rPr>
                <w:rFonts w:ascii="仿宋_GB2312" w:hAnsi="宋体" w:cs="宋体"/>
                <w:b/>
                <w:bCs/>
                <w:kern w:val="0"/>
                <w:sz w:val="21"/>
                <w:szCs w:val="21"/>
              </w:rPr>
            </w:pPr>
            <w:r>
              <w:rPr>
                <w:rFonts w:hint="eastAsia" w:ascii="仿宋_GB2312" w:hAnsi="宋体" w:cs="宋体"/>
                <w:b/>
                <w:bCs/>
                <w:kern w:val="0"/>
                <w:sz w:val="21"/>
                <w:szCs w:val="21"/>
              </w:rPr>
              <w:t>名称</w:t>
            </w:r>
          </w:p>
        </w:tc>
        <w:tc>
          <w:tcPr>
            <w:tcW w:w="250" w:type="pct"/>
            <w:tcBorders>
              <w:top w:val="single" w:color="auto" w:sz="4" w:space="0"/>
              <w:left w:val="nil"/>
              <w:bottom w:val="single" w:color="auto" w:sz="4" w:space="0"/>
              <w:right w:val="single" w:color="auto" w:sz="4" w:space="0"/>
            </w:tcBorders>
            <w:shd w:val="clear" w:color="auto" w:fill="D0CECE" w:themeFill="background2" w:themeFillShade="E6"/>
            <w:noWrap/>
            <w:vAlign w:val="center"/>
          </w:tcPr>
          <w:p>
            <w:pPr>
              <w:widowControl/>
              <w:spacing w:line="240" w:lineRule="auto"/>
              <w:ind w:firstLine="0" w:firstLineChars="0"/>
              <w:jc w:val="center"/>
              <w:rPr>
                <w:rFonts w:ascii="仿宋_GB2312" w:hAnsi="宋体" w:cs="宋体"/>
                <w:b/>
                <w:bCs/>
                <w:kern w:val="0"/>
                <w:sz w:val="21"/>
                <w:szCs w:val="21"/>
              </w:rPr>
            </w:pPr>
            <w:r>
              <w:rPr>
                <w:rFonts w:hint="eastAsia" w:ascii="仿宋_GB2312" w:hAnsi="宋体" w:cs="宋体"/>
                <w:b/>
                <w:bCs/>
                <w:kern w:val="0"/>
                <w:sz w:val="21"/>
                <w:szCs w:val="21"/>
              </w:rPr>
              <w:t>权重</w:t>
            </w:r>
          </w:p>
        </w:tc>
        <w:tc>
          <w:tcPr>
            <w:tcW w:w="250" w:type="pct"/>
            <w:tcBorders>
              <w:top w:val="single" w:color="auto" w:sz="4" w:space="0"/>
              <w:left w:val="nil"/>
              <w:bottom w:val="single" w:color="auto" w:sz="4" w:space="0"/>
              <w:right w:val="single" w:color="auto" w:sz="4" w:space="0"/>
            </w:tcBorders>
            <w:shd w:val="clear" w:color="auto" w:fill="D0CECE" w:themeFill="background2" w:themeFillShade="E6"/>
            <w:noWrap/>
            <w:vAlign w:val="center"/>
          </w:tcPr>
          <w:p>
            <w:pPr>
              <w:widowControl/>
              <w:spacing w:line="240" w:lineRule="auto"/>
              <w:ind w:firstLine="0" w:firstLineChars="0"/>
              <w:jc w:val="center"/>
              <w:rPr>
                <w:rFonts w:ascii="仿宋_GB2312" w:hAnsi="宋体" w:cs="宋体"/>
                <w:b/>
                <w:bCs/>
                <w:kern w:val="0"/>
                <w:sz w:val="21"/>
                <w:szCs w:val="21"/>
              </w:rPr>
            </w:pPr>
            <w:r>
              <w:rPr>
                <w:rFonts w:hint="eastAsia" w:ascii="仿宋_GB2312" w:hAnsi="宋体" w:cs="宋体"/>
                <w:b/>
                <w:bCs/>
                <w:kern w:val="0"/>
                <w:sz w:val="21"/>
                <w:szCs w:val="21"/>
              </w:rPr>
              <w:t>名称</w:t>
            </w:r>
          </w:p>
        </w:tc>
        <w:tc>
          <w:tcPr>
            <w:tcW w:w="250" w:type="pct"/>
            <w:tcBorders>
              <w:top w:val="single" w:color="auto" w:sz="4" w:space="0"/>
              <w:left w:val="nil"/>
              <w:bottom w:val="single" w:color="auto" w:sz="4" w:space="0"/>
              <w:right w:val="single" w:color="auto" w:sz="4" w:space="0"/>
            </w:tcBorders>
            <w:shd w:val="clear" w:color="auto" w:fill="D0CECE" w:themeFill="background2" w:themeFillShade="E6"/>
            <w:noWrap/>
            <w:vAlign w:val="center"/>
          </w:tcPr>
          <w:p>
            <w:pPr>
              <w:widowControl/>
              <w:spacing w:line="240" w:lineRule="auto"/>
              <w:ind w:firstLine="0" w:firstLineChars="0"/>
              <w:jc w:val="center"/>
              <w:rPr>
                <w:rFonts w:ascii="仿宋_GB2312" w:hAnsi="宋体" w:cs="宋体"/>
                <w:b/>
                <w:bCs/>
                <w:kern w:val="0"/>
                <w:sz w:val="21"/>
                <w:szCs w:val="21"/>
              </w:rPr>
            </w:pPr>
            <w:r>
              <w:rPr>
                <w:rFonts w:hint="eastAsia" w:ascii="仿宋_GB2312" w:hAnsi="宋体" w:cs="宋体"/>
                <w:b/>
                <w:bCs/>
                <w:kern w:val="0"/>
                <w:sz w:val="21"/>
                <w:szCs w:val="21"/>
              </w:rPr>
              <w:t>权重</w:t>
            </w:r>
          </w:p>
        </w:tc>
        <w:tc>
          <w:tcPr>
            <w:tcW w:w="443" w:type="pct"/>
            <w:tcBorders>
              <w:top w:val="single" w:color="auto" w:sz="4" w:space="0"/>
              <w:left w:val="nil"/>
              <w:bottom w:val="single" w:color="auto" w:sz="4" w:space="0"/>
              <w:right w:val="single" w:color="auto" w:sz="4" w:space="0"/>
            </w:tcBorders>
            <w:shd w:val="clear" w:color="auto" w:fill="D0CECE" w:themeFill="background2" w:themeFillShade="E6"/>
            <w:noWrap/>
            <w:vAlign w:val="center"/>
          </w:tcPr>
          <w:p>
            <w:pPr>
              <w:widowControl/>
              <w:spacing w:line="240" w:lineRule="auto"/>
              <w:ind w:firstLine="0" w:firstLineChars="0"/>
              <w:jc w:val="center"/>
              <w:rPr>
                <w:rFonts w:ascii="仿宋_GB2312" w:hAnsi="宋体" w:cs="宋体"/>
                <w:b/>
                <w:bCs/>
                <w:kern w:val="0"/>
                <w:sz w:val="21"/>
                <w:szCs w:val="21"/>
              </w:rPr>
            </w:pPr>
            <w:r>
              <w:rPr>
                <w:rFonts w:hint="eastAsia" w:ascii="仿宋_GB2312" w:hAnsi="宋体" w:cs="宋体"/>
                <w:b/>
                <w:bCs/>
                <w:kern w:val="0"/>
                <w:sz w:val="21"/>
                <w:szCs w:val="21"/>
              </w:rPr>
              <w:t>名称</w:t>
            </w:r>
          </w:p>
        </w:tc>
        <w:tc>
          <w:tcPr>
            <w:tcW w:w="266" w:type="pct"/>
            <w:tcBorders>
              <w:top w:val="single" w:color="auto" w:sz="4" w:space="0"/>
              <w:left w:val="nil"/>
              <w:bottom w:val="single" w:color="auto" w:sz="4" w:space="0"/>
              <w:right w:val="single" w:color="auto" w:sz="4" w:space="0"/>
            </w:tcBorders>
            <w:shd w:val="clear" w:color="auto" w:fill="D0CECE" w:themeFill="background2" w:themeFillShade="E6"/>
            <w:noWrap/>
            <w:vAlign w:val="center"/>
          </w:tcPr>
          <w:p>
            <w:pPr>
              <w:widowControl/>
              <w:spacing w:line="240" w:lineRule="auto"/>
              <w:ind w:firstLine="0" w:firstLineChars="0"/>
              <w:jc w:val="center"/>
              <w:rPr>
                <w:rFonts w:ascii="仿宋_GB2312" w:hAnsi="宋体" w:cs="宋体"/>
                <w:b/>
                <w:bCs/>
                <w:kern w:val="0"/>
                <w:sz w:val="21"/>
                <w:szCs w:val="21"/>
              </w:rPr>
            </w:pPr>
            <w:r>
              <w:rPr>
                <w:rFonts w:hint="eastAsia" w:ascii="仿宋_GB2312" w:hAnsi="宋体" w:cs="宋体"/>
                <w:b/>
                <w:bCs/>
                <w:kern w:val="0"/>
                <w:sz w:val="21"/>
                <w:szCs w:val="21"/>
              </w:rPr>
              <w:t>权重</w:t>
            </w:r>
          </w:p>
        </w:tc>
        <w:tc>
          <w:tcPr>
            <w:tcW w:w="861"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left"/>
              <w:rPr>
                <w:rFonts w:ascii="仿宋_GB2312" w:hAnsi="宋体" w:cs="宋体"/>
                <w:b/>
                <w:bCs/>
                <w:kern w:val="0"/>
                <w:sz w:val="21"/>
                <w:szCs w:val="21"/>
              </w:rPr>
            </w:pPr>
          </w:p>
        </w:tc>
        <w:tc>
          <w:tcPr>
            <w:tcW w:w="1746"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left"/>
              <w:rPr>
                <w:rFonts w:ascii="仿宋_GB2312" w:hAnsi="宋体" w:cs="宋体"/>
                <w:b/>
                <w:bCs/>
                <w:kern w:val="0"/>
                <w:sz w:val="21"/>
                <w:szCs w:val="21"/>
              </w:rPr>
            </w:pPr>
          </w:p>
        </w:tc>
        <w:tc>
          <w:tcPr>
            <w:tcW w:w="303"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left"/>
              <w:rPr>
                <w:rFonts w:ascii="仿宋_GB2312" w:hAnsi="宋体" w:cs="宋体"/>
                <w:b/>
                <w:bCs/>
                <w:kern w:val="0"/>
                <w:sz w:val="21"/>
                <w:szCs w:val="21"/>
              </w:rPr>
            </w:pPr>
          </w:p>
        </w:tc>
        <w:tc>
          <w:tcPr>
            <w:tcW w:w="381"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left"/>
              <w:rPr>
                <w:rFonts w:ascii="仿宋_GB2312" w:hAnsi="宋体" w:cs="宋体"/>
                <w:b/>
                <w:bCs/>
                <w:kern w:val="0"/>
                <w:sz w:val="21"/>
                <w:szCs w:val="21"/>
              </w:rPr>
            </w:pPr>
          </w:p>
        </w:tc>
      </w:tr>
      <w:tr>
        <w:tblPrEx>
          <w:tblCellMar>
            <w:top w:w="0" w:type="dxa"/>
            <w:left w:w="108" w:type="dxa"/>
            <w:bottom w:w="0" w:type="dxa"/>
            <w:right w:w="108" w:type="dxa"/>
          </w:tblCellMar>
        </w:tblPrEx>
        <w:trPr>
          <w:trHeight w:val="1880" w:hRule="atLeast"/>
        </w:trPr>
        <w:tc>
          <w:tcPr>
            <w:tcW w:w="250"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仿宋_GB2312" w:hAnsi="Times New Roman" w:cs="Times New Roman"/>
                <w:color w:val="000000"/>
                <w:kern w:val="0"/>
                <w:sz w:val="21"/>
                <w:szCs w:val="21"/>
              </w:rPr>
            </w:pPr>
            <w:r>
              <w:rPr>
                <w:rFonts w:hint="eastAsia" w:ascii="仿宋_GB2312" w:hAnsi="Times New Roman" w:cs="Times New Roman"/>
                <w:color w:val="000000"/>
                <w:kern w:val="0"/>
                <w:sz w:val="21"/>
                <w:szCs w:val="21"/>
              </w:rPr>
              <w:t>项目决策</w:t>
            </w:r>
          </w:p>
        </w:tc>
        <w:tc>
          <w:tcPr>
            <w:tcW w:w="250"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仿宋_GB2312" w:hAnsi="Times New Roman" w:cs="Times New Roman"/>
                <w:color w:val="000000"/>
                <w:kern w:val="0"/>
                <w:sz w:val="21"/>
                <w:szCs w:val="21"/>
              </w:rPr>
            </w:pPr>
            <w:r>
              <w:rPr>
                <w:rFonts w:ascii="仿宋_GB2312" w:hAnsi="Times New Roman" w:cs="Times New Roman"/>
                <w:color w:val="000000"/>
                <w:kern w:val="0"/>
                <w:sz w:val="21"/>
                <w:szCs w:val="21"/>
              </w:rPr>
              <w:t>20</w:t>
            </w:r>
          </w:p>
        </w:tc>
        <w:tc>
          <w:tcPr>
            <w:tcW w:w="250"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仿宋_GB2312" w:hAnsi="Times New Roman" w:cs="Times New Roman"/>
                <w:color w:val="000000"/>
                <w:kern w:val="0"/>
                <w:sz w:val="21"/>
                <w:szCs w:val="21"/>
              </w:rPr>
            </w:pPr>
            <w:r>
              <w:rPr>
                <w:rFonts w:hint="eastAsia" w:ascii="仿宋_GB2312" w:hAnsi="Times New Roman" w:cs="Times New Roman"/>
                <w:color w:val="000000"/>
                <w:kern w:val="0"/>
                <w:sz w:val="21"/>
                <w:szCs w:val="21"/>
              </w:rPr>
              <w:t>项目立项</w:t>
            </w:r>
          </w:p>
        </w:tc>
        <w:tc>
          <w:tcPr>
            <w:tcW w:w="250"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仿宋_GB2312" w:hAnsi="Times New Roman" w:cs="Times New Roman"/>
                <w:color w:val="000000"/>
                <w:kern w:val="0"/>
                <w:sz w:val="21"/>
                <w:szCs w:val="21"/>
              </w:rPr>
            </w:pPr>
            <w:r>
              <w:rPr>
                <w:rFonts w:ascii="仿宋_GB2312" w:hAnsi="Times New Roman" w:cs="Times New Roman"/>
                <w:color w:val="000000"/>
                <w:kern w:val="0"/>
                <w:sz w:val="21"/>
                <w:szCs w:val="21"/>
              </w:rPr>
              <w:t>6</w:t>
            </w:r>
          </w:p>
        </w:tc>
        <w:tc>
          <w:tcPr>
            <w:tcW w:w="443" w:type="pct"/>
            <w:tcBorders>
              <w:top w:val="single" w:color="auto" w:sz="4" w:space="0"/>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仿宋_GB2312" w:hAnsi="Times New Roman" w:cs="Times New Roman"/>
                <w:color w:val="000000"/>
                <w:kern w:val="0"/>
                <w:sz w:val="21"/>
                <w:szCs w:val="21"/>
              </w:rPr>
            </w:pPr>
            <w:r>
              <w:rPr>
                <w:rFonts w:hint="eastAsia" w:ascii="仿宋_GB2312" w:hAnsi="Times New Roman" w:cs="Times New Roman"/>
                <w:color w:val="000000"/>
                <w:kern w:val="0"/>
                <w:sz w:val="21"/>
                <w:szCs w:val="21"/>
              </w:rPr>
              <w:t>立项依据充分性</w:t>
            </w:r>
          </w:p>
        </w:tc>
        <w:tc>
          <w:tcPr>
            <w:tcW w:w="266" w:type="pct"/>
            <w:tcBorders>
              <w:top w:val="single" w:color="auto" w:sz="4" w:space="0"/>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仿宋_GB2312" w:hAnsi="Times New Roman" w:cs="Times New Roman"/>
                <w:color w:val="000000"/>
                <w:kern w:val="0"/>
                <w:sz w:val="21"/>
                <w:szCs w:val="21"/>
              </w:rPr>
            </w:pPr>
            <w:r>
              <w:rPr>
                <w:rFonts w:ascii="仿宋_GB2312" w:hAnsi="Times New Roman" w:cs="Times New Roman"/>
                <w:color w:val="000000"/>
                <w:kern w:val="0"/>
                <w:sz w:val="21"/>
                <w:szCs w:val="21"/>
              </w:rPr>
              <w:t>4</w:t>
            </w:r>
          </w:p>
        </w:tc>
        <w:tc>
          <w:tcPr>
            <w:tcW w:w="861" w:type="pct"/>
            <w:tcBorders>
              <w:top w:val="single" w:color="auto" w:sz="4" w:space="0"/>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仿宋_GB2312" w:hAnsi="Times New Roman" w:cs="Times New Roman"/>
                <w:color w:val="000000"/>
                <w:kern w:val="0"/>
                <w:sz w:val="21"/>
                <w:szCs w:val="21"/>
              </w:rPr>
            </w:pPr>
            <w:r>
              <w:rPr>
                <w:rFonts w:hint="eastAsia" w:ascii="仿宋_GB2312" w:hAnsi="Times New Roman" w:cs="Times New Roman"/>
                <w:color w:val="000000"/>
                <w:kern w:val="0"/>
                <w:sz w:val="21"/>
                <w:szCs w:val="21"/>
              </w:rPr>
              <w:t>项目立项是否符合法律法规、相关政策、发展规划以及部门职责，用以反映和考核项目立项依据情况。</w:t>
            </w:r>
          </w:p>
        </w:tc>
        <w:tc>
          <w:tcPr>
            <w:tcW w:w="1746" w:type="pct"/>
            <w:tcBorders>
              <w:top w:val="single" w:color="auto" w:sz="4" w:space="0"/>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仿宋_GB2312" w:hAnsi="Times New Roman" w:cs="Times New Roman"/>
                <w:color w:val="000000"/>
                <w:kern w:val="0"/>
                <w:sz w:val="21"/>
                <w:szCs w:val="21"/>
              </w:rPr>
            </w:pPr>
            <w:r>
              <w:rPr>
                <w:rFonts w:hint="eastAsia" w:ascii="仿宋_GB2312" w:hAnsi="Times New Roman" w:cs="Times New Roman"/>
                <w:color w:val="000000"/>
                <w:kern w:val="0"/>
                <w:sz w:val="21"/>
                <w:szCs w:val="21"/>
              </w:rPr>
              <w:t>①项目立项符合国家法律法规、国民经济发展规划和相关政策，得1分。</w:t>
            </w:r>
            <w:r>
              <w:rPr>
                <w:rFonts w:ascii="仿宋_GB2312" w:hAnsi="Times New Roman" w:cs="Times New Roman"/>
                <w:color w:val="000000"/>
                <w:kern w:val="0"/>
                <w:sz w:val="21"/>
                <w:szCs w:val="21"/>
              </w:rPr>
              <w:br w:type="textWrapping"/>
            </w:r>
            <w:r>
              <w:rPr>
                <w:rFonts w:hint="eastAsia" w:ascii="仿宋_GB2312" w:hAnsi="Times New Roman" w:cs="Times New Roman"/>
                <w:color w:val="000000"/>
                <w:kern w:val="0"/>
                <w:sz w:val="21"/>
                <w:szCs w:val="21"/>
              </w:rPr>
              <w:t>②项目立项符合行业发展规划和政策要求，得1分。</w:t>
            </w:r>
            <w:r>
              <w:rPr>
                <w:rFonts w:ascii="仿宋_GB2312" w:hAnsi="Times New Roman" w:cs="Times New Roman"/>
                <w:color w:val="000000"/>
                <w:kern w:val="0"/>
                <w:sz w:val="21"/>
                <w:szCs w:val="21"/>
              </w:rPr>
              <w:br w:type="textWrapping"/>
            </w:r>
            <w:r>
              <w:rPr>
                <w:rFonts w:hint="eastAsia" w:ascii="仿宋_GB2312" w:hAnsi="Times New Roman" w:cs="Times New Roman"/>
                <w:color w:val="000000"/>
                <w:kern w:val="0"/>
                <w:sz w:val="21"/>
                <w:szCs w:val="21"/>
              </w:rPr>
              <w:t>③项目立项与部门职责范围相符，属于部门履职所需，得1分。</w:t>
            </w:r>
            <w:r>
              <w:rPr>
                <w:rFonts w:ascii="仿宋_GB2312" w:hAnsi="Times New Roman" w:cs="Times New Roman"/>
                <w:color w:val="000000"/>
                <w:kern w:val="0"/>
                <w:sz w:val="21"/>
                <w:szCs w:val="21"/>
              </w:rPr>
              <w:br w:type="textWrapping"/>
            </w:r>
            <w:r>
              <w:rPr>
                <w:rFonts w:hint="eastAsia" w:ascii="仿宋_GB2312" w:hAnsi="Times New Roman" w:cs="Times New Roman"/>
                <w:color w:val="000000"/>
                <w:kern w:val="0"/>
                <w:sz w:val="21"/>
                <w:szCs w:val="21"/>
              </w:rPr>
              <w:t>④项目属于公共财政支持范围，符合中央、地方事权支出责任划分原则，得1分。</w:t>
            </w:r>
          </w:p>
        </w:tc>
        <w:tc>
          <w:tcPr>
            <w:tcW w:w="303" w:type="pct"/>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Times New Roman" w:cs="Times New Roman"/>
                <w:color w:val="000000"/>
                <w:kern w:val="0"/>
                <w:sz w:val="21"/>
                <w:szCs w:val="21"/>
              </w:rPr>
            </w:pPr>
            <w:r>
              <w:rPr>
                <w:rFonts w:ascii="仿宋_GB2312" w:hAnsi="Times New Roman" w:cs="Times New Roman"/>
                <w:color w:val="000000"/>
                <w:kern w:val="0"/>
                <w:sz w:val="21"/>
                <w:szCs w:val="21"/>
              </w:rPr>
              <w:t>4</w:t>
            </w:r>
          </w:p>
        </w:tc>
        <w:tc>
          <w:tcPr>
            <w:tcW w:w="381" w:type="pct"/>
            <w:tcBorders>
              <w:top w:val="single" w:color="auto" w:sz="4" w:space="0"/>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仿宋_GB2312" w:hAnsi="Times New Roman" w:cs="Times New Roman"/>
                <w:color w:val="000000"/>
                <w:kern w:val="0"/>
                <w:sz w:val="21"/>
                <w:szCs w:val="21"/>
              </w:rPr>
            </w:pPr>
          </w:p>
        </w:tc>
      </w:tr>
      <w:tr>
        <w:tblPrEx>
          <w:tblCellMar>
            <w:top w:w="0" w:type="dxa"/>
            <w:left w:w="108" w:type="dxa"/>
            <w:bottom w:w="0" w:type="dxa"/>
            <w:right w:w="108" w:type="dxa"/>
          </w:tblCellMar>
        </w:tblPrEx>
        <w:trPr>
          <w:trHeight w:val="1500" w:hRule="atLeast"/>
        </w:trPr>
        <w:tc>
          <w:tcPr>
            <w:tcW w:w="250"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left"/>
              <w:rPr>
                <w:rFonts w:ascii="仿宋_GB2312" w:hAnsi="Times New Roman" w:cs="Times New Roman"/>
                <w:color w:val="000000"/>
                <w:kern w:val="0"/>
                <w:sz w:val="21"/>
                <w:szCs w:val="21"/>
              </w:rPr>
            </w:pPr>
          </w:p>
        </w:tc>
        <w:tc>
          <w:tcPr>
            <w:tcW w:w="250"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left"/>
              <w:rPr>
                <w:rFonts w:ascii="仿宋_GB2312" w:hAnsi="Times New Roman" w:cs="Times New Roman"/>
                <w:color w:val="000000"/>
                <w:kern w:val="0"/>
                <w:sz w:val="21"/>
                <w:szCs w:val="21"/>
              </w:rPr>
            </w:pPr>
          </w:p>
        </w:tc>
        <w:tc>
          <w:tcPr>
            <w:tcW w:w="250"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left"/>
              <w:rPr>
                <w:rFonts w:ascii="仿宋_GB2312" w:hAnsi="Times New Roman" w:cs="Times New Roman"/>
                <w:color w:val="000000"/>
                <w:kern w:val="0"/>
                <w:sz w:val="21"/>
                <w:szCs w:val="21"/>
              </w:rPr>
            </w:pPr>
          </w:p>
        </w:tc>
        <w:tc>
          <w:tcPr>
            <w:tcW w:w="250"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left"/>
              <w:rPr>
                <w:rFonts w:ascii="仿宋_GB2312" w:hAnsi="Times New Roman" w:cs="Times New Roman"/>
                <w:color w:val="000000"/>
                <w:kern w:val="0"/>
                <w:sz w:val="21"/>
                <w:szCs w:val="21"/>
              </w:rPr>
            </w:pPr>
          </w:p>
        </w:tc>
        <w:tc>
          <w:tcPr>
            <w:tcW w:w="443" w:type="pct"/>
            <w:tcBorders>
              <w:top w:val="single" w:color="auto" w:sz="4" w:space="0"/>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仿宋_GB2312" w:hAnsi="Times New Roman" w:cs="Times New Roman"/>
                <w:color w:val="000000"/>
                <w:kern w:val="0"/>
                <w:sz w:val="21"/>
                <w:szCs w:val="21"/>
              </w:rPr>
            </w:pPr>
            <w:r>
              <w:rPr>
                <w:rFonts w:hint="eastAsia" w:ascii="仿宋_GB2312" w:hAnsi="Times New Roman" w:cs="Times New Roman"/>
                <w:color w:val="000000"/>
                <w:kern w:val="0"/>
                <w:sz w:val="21"/>
                <w:szCs w:val="21"/>
              </w:rPr>
              <w:t>立项程序规范性</w:t>
            </w:r>
          </w:p>
        </w:tc>
        <w:tc>
          <w:tcPr>
            <w:tcW w:w="266" w:type="pct"/>
            <w:tcBorders>
              <w:top w:val="single" w:color="auto" w:sz="4" w:space="0"/>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仿宋_GB2312" w:hAnsi="Times New Roman" w:cs="Times New Roman"/>
                <w:color w:val="000000"/>
                <w:kern w:val="0"/>
                <w:sz w:val="21"/>
                <w:szCs w:val="21"/>
              </w:rPr>
            </w:pPr>
            <w:r>
              <w:rPr>
                <w:rFonts w:ascii="仿宋_GB2312" w:hAnsi="Times New Roman" w:cs="Times New Roman"/>
                <w:color w:val="000000"/>
                <w:kern w:val="0"/>
                <w:sz w:val="21"/>
                <w:szCs w:val="21"/>
              </w:rPr>
              <w:t>2</w:t>
            </w:r>
          </w:p>
        </w:tc>
        <w:tc>
          <w:tcPr>
            <w:tcW w:w="861" w:type="pct"/>
            <w:tcBorders>
              <w:top w:val="single" w:color="auto" w:sz="4" w:space="0"/>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仿宋_GB2312" w:hAnsi="Times New Roman" w:cs="Times New Roman"/>
                <w:color w:val="000000"/>
                <w:kern w:val="0"/>
                <w:sz w:val="21"/>
                <w:szCs w:val="21"/>
              </w:rPr>
            </w:pPr>
            <w:r>
              <w:rPr>
                <w:rFonts w:hint="eastAsia" w:ascii="仿宋_GB2312" w:hAnsi="Times New Roman" w:cs="Times New Roman"/>
                <w:color w:val="000000"/>
                <w:kern w:val="0"/>
                <w:sz w:val="21"/>
                <w:szCs w:val="21"/>
              </w:rPr>
              <w:t>项目申请、设立过程是否符合相关要求，用以反映和考核项目立项的规范情况。</w:t>
            </w:r>
          </w:p>
        </w:tc>
        <w:tc>
          <w:tcPr>
            <w:tcW w:w="1746" w:type="pct"/>
            <w:tcBorders>
              <w:top w:val="single" w:color="auto" w:sz="4" w:space="0"/>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仿宋_GB2312" w:hAnsi="Times New Roman" w:cs="Times New Roman"/>
                <w:color w:val="000000"/>
                <w:kern w:val="0"/>
                <w:sz w:val="21"/>
                <w:szCs w:val="21"/>
              </w:rPr>
            </w:pPr>
            <w:r>
              <w:rPr>
                <w:rFonts w:hint="eastAsia" w:ascii="仿宋_GB2312" w:hAnsi="Times New Roman" w:cs="Times New Roman"/>
                <w:color w:val="000000"/>
                <w:kern w:val="0"/>
                <w:sz w:val="21"/>
                <w:szCs w:val="21"/>
              </w:rPr>
              <w:t>①项目按照规定的程序申请设立，审批文件、材料符合相关要求，得1分。</w:t>
            </w:r>
            <w:r>
              <w:rPr>
                <w:rFonts w:ascii="仿宋_GB2312" w:hAnsi="Times New Roman" w:cs="Times New Roman"/>
                <w:color w:val="000000"/>
                <w:kern w:val="0"/>
                <w:sz w:val="21"/>
                <w:szCs w:val="21"/>
              </w:rPr>
              <w:br w:type="textWrapping"/>
            </w:r>
            <w:r>
              <w:rPr>
                <w:rFonts w:hint="eastAsia" w:ascii="仿宋_GB2312" w:hAnsi="Times New Roman" w:cs="Times New Roman"/>
                <w:color w:val="000000"/>
                <w:kern w:val="0"/>
                <w:sz w:val="21"/>
                <w:szCs w:val="21"/>
              </w:rPr>
              <w:t>②事前已经过必要的可行性研究、专家论证、风险评估、绩效评估、</w:t>
            </w:r>
            <w:r>
              <w:rPr>
                <w:rFonts w:ascii="仿宋_GB2312" w:hAnsi="Times New Roman" w:cs="Times New Roman"/>
                <w:color w:val="000000"/>
                <w:kern w:val="0"/>
                <w:sz w:val="21"/>
                <w:szCs w:val="21"/>
              </w:rPr>
              <w:t xml:space="preserve"> </w:t>
            </w:r>
            <w:r>
              <w:rPr>
                <w:rFonts w:hint="eastAsia" w:ascii="仿宋_GB2312" w:hAnsi="Times New Roman" w:cs="Times New Roman"/>
                <w:color w:val="000000"/>
                <w:kern w:val="0"/>
                <w:sz w:val="21"/>
                <w:szCs w:val="21"/>
              </w:rPr>
              <w:t>集体决策，得1分。</w:t>
            </w:r>
          </w:p>
        </w:tc>
        <w:tc>
          <w:tcPr>
            <w:tcW w:w="303" w:type="pct"/>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Times New Roman" w:cs="Times New Roman"/>
                <w:color w:val="000000"/>
                <w:kern w:val="0"/>
                <w:sz w:val="21"/>
                <w:szCs w:val="21"/>
              </w:rPr>
            </w:pPr>
            <w:r>
              <w:rPr>
                <w:rFonts w:ascii="仿宋_GB2312" w:hAnsi="Times New Roman" w:cs="Times New Roman"/>
                <w:color w:val="000000"/>
                <w:kern w:val="0"/>
                <w:sz w:val="21"/>
                <w:szCs w:val="21"/>
              </w:rPr>
              <w:t>2</w:t>
            </w:r>
          </w:p>
        </w:tc>
        <w:tc>
          <w:tcPr>
            <w:tcW w:w="381" w:type="pct"/>
            <w:tcBorders>
              <w:top w:val="single" w:color="auto" w:sz="4" w:space="0"/>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仿宋_GB2312" w:hAnsi="Times New Roman" w:cs="Times New Roman"/>
                <w:color w:val="000000"/>
                <w:kern w:val="0"/>
                <w:sz w:val="21"/>
                <w:szCs w:val="21"/>
              </w:rPr>
            </w:pPr>
          </w:p>
        </w:tc>
      </w:tr>
      <w:tr>
        <w:tblPrEx>
          <w:tblCellMar>
            <w:top w:w="0" w:type="dxa"/>
            <w:left w:w="108" w:type="dxa"/>
            <w:bottom w:w="0" w:type="dxa"/>
            <w:right w:w="108" w:type="dxa"/>
          </w:tblCellMar>
        </w:tblPrEx>
        <w:trPr>
          <w:trHeight w:val="1570" w:hRule="atLeast"/>
        </w:trPr>
        <w:tc>
          <w:tcPr>
            <w:tcW w:w="250"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left"/>
              <w:rPr>
                <w:rFonts w:ascii="仿宋_GB2312" w:hAnsi="Times New Roman" w:cs="Times New Roman"/>
                <w:color w:val="000000"/>
                <w:kern w:val="0"/>
                <w:sz w:val="21"/>
                <w:szCs w:val="21"/>
              </w:rPr>
            </w:pPr>
          </w:p>
        </w:tc>
        <w:tc>
          <w:tcPr>
            <w:tcW w:w="250"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left"/>
              <w:rPr>
                <w:rFonts w:ascii="仿宋_GB2312" w:hAnsi="Times New Roman" w:cs="Times New Roman"/>
                <w:color w:val="000000"/>
                <w:kern w:val="0"/>
                <w:sz w:val="21"/>
                <w:szCs w:val="21"/>
              </w:rPr>
            </w:pPr>
          </w:p>
        </w:tc>
        <w:tc>
          <w:tcPr>
            <w:tcW w:w="250"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仿宋_GB2312" w:hAnsi="Times New Roman" w:cs="Times New Roman"/>
                <w:color w:val="000000"/>
                <w:kern w:val="0"/>
                <w:sz w:val="21"/>
                <w:szCs w:val="21"/>
              </w:rPr>
            </w:pPr>
            <w:r>
              <w:rPr>
                <w:rFonts w:hint="eastAsia" w:ascii="仿宋_GB2312" w:hAnsi="Times New Roman" w:cs="Times New Roman"/>
                <w:color w:val="000000"/>
                <w:kern w:val="0"/>
                <w:sz w:val="21"/>
                <w:szCs w:val="21"/>
              </w:rPr>
              <w:t>绩效目标</w:t>
            </w:r>
          </w:p>
        </w:tc>
        <w:tc>
          <w:tcPr>
            <w:tcW w:w="250"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仿宋_GB2312" w:hAnsi="Times New Roman" w:cs="Times New Roman"/>
                <w:color w:val="000000"/>
                <w:kern w:val="0"/>
                <w:sz w:val="21"/>
                <w:szCs w:val="21"/>
              </w:rPr>
            </w:pPr>
            <w:r>
              <w:rPr>
                <w:rFonts w:ascii="仿宋_GB2312" w:hAnsi="Times New Roman" w:cs="Times New Roman"/>
                <w:color w:val="000000"/>
                <w:kern w:val="0"/>
                <w:sz w:val="21"/>
                <w:szCs w:val="21"/>
              </w:rPr>
              <w:t>8</w:t>
            </w:r>
          </w:p>
        </w:tc>
        <w:tc>
          <w:tcPr>
            <w:tcW w:w="443" w:type="pct"/>
            <w:tcBorders>
              <w:top w:val="single" w:color="auto" w:sz="4" w:space="0"/>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仿宋_GB2312" w:hAnsi="Times New Roman" w:cs="Times New Roman"/>
                <w:color w:val="000000"/>
                <w:kern w:val="0"/>
                <w:sz w:val="21"/>
                <w:szCs w:val="21"/>
              </w:rPr>
            </w:pPr>
            <w:r>
              <w:rPr>
                <w:rFonts w:hint="eastAsia" w:ascii="仿宋_GB2312" w:hAnsi="Times New Roman" w:cs="Times New Roman"/>
                <w:color w:val="000000"/>
                <w:kern w:val="0"/>
                <w:sz w:val="21"/>
                <w:szCs w:val="21"/>
              </w:rPr>
              <w:t>绩效目标合理性</w:t>
            </w:r>
          </w:p>
        </w:tc>
        <w:tc>
          <w:tcPr>
            <w:tcW w:w="266" w:type="pct"/>
            <w:tcBorders>
              <w:top w:val="single" w:color="auto" w:sz="4" w:space="0"/>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仿宋_GB2312" w:hAnsi="Times New Roman" w:cs="Times New Roman"/>
                <w:color w:val="000000"/>
                <w:kern w:val="0"/>
                <w:sz w:val="21"/>
                <w:szCs w:val="21"/>
              </w:rPr>
            </w:pPr>
            <w:r>
              <w:rPr>
                <w:rFonts w:ascii="仿宋_GB2312" w:hAnsi="Times New Roman" w:cs="Times New Roman"/>
                <w:color w:val="000000"/>
                <w:kern w:val="0"/>
                <w:sz w:val="21"/>
                <w:szCs w:val="21"/>
              </w:rPr>
              <w:t>4</w:t>
            </w:r>
          </w:p>
        </w:tc>
        <w:tc>
          <w:tcPr>
            <w:tcW w:w="861" w:type="pct"/>
            <w:tcBorders>
              <w:top w:val="single" w:color="auto" w:sz="4" w:space="0"/>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仿宋_GB2312" w:hAnsi="Times New Roman" w:cs="Times New Roman"/>
                <w:color w:val="000000"/>
                <w:kern w:val="0"/>
                <w:sz w:val="21"/>
                <w:szCs w:val="21"/>
              </w:rPr>
            </w:pPr>
            <w:r>
              <w:rPr>
                <w:rFonts w:hint="eastAsia" w:ascii="仿宋_GB2312" w:hAnsi="Times New Roman" w:cs="Times New Roman"/>
                <w:color w:val="000000"/>
                <w:kern w:val="0"/>
                <w:sz w:val="21"/>
                <w:szCs w:val="21"/>
              </w:rPr>
              <w:t>项目所设定的绩效目标是否依据充分，是否符合客观实际，用以反映和考核项目绩效目标与项目实施的相符情况。</w:t>
            </w:r>
          </w:p>
        </w:tc>
        <w:tc>
          <w:tcPr>
            <w:tcW w:w="1746" w:type="pct"/>
            <w:tcBorders>
              <w:top w:val="single" w:color="auto" w:sz="4" w:space="0"/>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仿宋_GB2312" w:hAnsi="Times New Roman" w:cs="Times New Roman"/>
                <w:color w:val="000000"/>
                <w:kern w:val="0"/>
                <w:sz w:val="21"/>
                <w:szCs w:val="21"/>
              </w:rPr>
            </w:pPr>
            <w:r>
              <w:rPr>
                <w:rFonts w:hint="eastAsia" w:ascii="仿宋_GB2312" w:hAnsi="Times New Roman" w:cs="Times New Roman"/>
                <w:color w:val="000000"/>
                <w:kern w:val="0"/>
                <w:sz w:val="21"/>
                <w:szCs w:val="21"/>
              </w:rPr>
              <w:t>①项目设定年度绩效目标，得1分。</w:t>
            </w:r>
            <w:r>
              <w:rPr>
                <w:rFonts w:ascii="仿宋_GB2312" w:hAnsi="Times New Roman" w:cs="Times New Roman"/>
                <w:color w:val="000000"/>
                <w:kern w:val="0"/>
                <w:sz w:val="21"/>
                <w:szCs w:val="21"/>
              </w:rPr>
              <w:br w:type="textWrapping"/>
            </w:r>
            <w:r>
              <w:rPr>
                <w:rFonts w:hint="eastAsia" w:ascii="仿宋_GB2312" w:hAnsi="Times New Roman" w:cs="Times New Roman"/>
                <w:color w:val="000000"/>
                <w:kern w:val="0"/>
                <w:sz w:val="21"/>
                <w:szCs w:val="21"/>
              </w:rPr>
              <w:t>②项目绩效目标与实际工作内容具有相关性，得1分。</w:t>
            </w:r>
            <w:r>
              <w:rPr>
                <w:rFonts w:ascii="仿宋_GB2312" w:hAnsi="Times New Roman" w:cs="Times New Roman"/>
                <w:color w:val="000000"/>
                <w:kern w:val="0"/>
                <w:sz w:val="21"/>
                <w:szCs w:val="21"/>
              </w:rPr>
              <w:br w:type="textWrapping"/>
            </w:r>
            <w:r>
              <w:rPr>
                <w:rFonts w:hint="eastAsia" w:ascii="仿宋_GB2312" w:hAnsi="Times New Roman" w:cs="Times New Roman"/>
                <w:color w:val="000000"/>
                <w:kern w:val="0"/>
                <w:sz w:val="21"/>
                <w:szCs w:val="21"/>
              </w:rPr>
              <w:t>③项目预期产出效益和效果符合正常的业绩水平，得1分。</w:t>
            </w:r>
            <w:r>
              <w:rPr>
                <w:rFonts w:ascii="仿宋_GB2312" w:hAnsi="Times New Roman" w:cs="Times New Roman"/>
                <w:color w:val="000000"/>
                <w:kern w:val="0"/>
                <w:sz w:val="21"/>
                <w:szCs w:val="21"/>
              </w:rPr>
              <w:br w:type="textWrapping"/>
            </w:r>
            <w:r>
              <w:rPr>
                <w:rFonts w:hint="eastAsia" w:ascii="仿宋_GB2312" w:hAnsi="Times New Roman" w:cs="Times New Roman"/>
                <w:color w:val="000000"/>
                <w:kern w:val="0"/>
                <w:sz w:val="21"/>
                <w:szCs w:val="21"/>
              </w:rPr>
              <w:t>④项目绩效目标与预算确定的项目投资额或资金量相匹配，得1分。</w:t>
            </w:r>
          </w:p>
        </w:tc>
        <w:tc>
          <w:tcPr>
            <w:tcW w:w="303" w:type="pct"/>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Times New Roman" w:cs="Times New Roman"/>
                <w:color w:val="000000"/>
                <w:kern w:val="0"/>
                <w:sz w:val="21"/>
                <w:szCs w:val="21"/>
              </w:rPr>
            </w:pPr>
            <w:r>
              <w:rPr>
                <w:rFonts w:ascii="仿宋_GB2312" w:hAnsi="Times New Roman" w:cs="Times New Roman"/>
                <w:color w:val="000000"/>
                <w:kern w:val="0"/>
                <w:sz w:val="21"/>
                <w:szCs w:val="21"/>
              </w:rPr>
              <w:t>4</w:t>
            </w:r>
          </w:p>
        </w:tc>
        <w:tc>
          <w:tcPr>
            <w:tcW w:w="381" w:type="pct"/>
            <w:tcBorders>
              <w:top w:val="single" w:color="auto" w:sz="4" w:space="0"/>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仿宋_GB2312" w:hAnsi="Times New Roman" w:cs="Times New Roman"/>
                <w:color w:val="000000"/>
                <w:kern w:val="0"/>
                <w:sz w:val="21"/>
                <w:szCs w:val="21"/>
              </w:rPr>
            </w:pPr>
          </w:p>
        </w:tc>
      </w:tr>
      <w:tr>
        <w:tblPrEx>
          <w:tblCellMar>
            <w:top w:w="0" w:type="dxa"/>
            <w:left w:w="108" w:type="dxa"/>
            <w:bottom w:w="0" w:type="dxa"/>
            <w:right w:w="108" w:type="dxa"/>
          </w:tblCellMar>
        </w:tblPrEx>
        <w:trPr>
          <w:trHeight w:val="1580" w:hRule="atLeast"/>
        </w:trPr>
        <w:tc>
          <w:tcPr>
            <w:tcW w:w="250"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left"/>
              <w:rPr>
                <w:rFonts w:ascii="仿宋_GB2312" w:hAnsi="Times New Roman" w:cs="Times New Roman"/>
                <w:color w:val="000000"/>
                <w:kern w:val="0"/>
                <w:sz w:val="21"/>
                <w:szCs w:val="21"/>
              </w:rPr>
            </w:pPr>
          </w:p>
        </w:tc>
        <w:tc>
          <w:tcPr>
            <w:tcW w:w="250"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left"/>
              <w:rPr>
                <w:rFonts w:ascii="仿宋_GB2312" w:hAnsi="Times New Roman" w:cs="Times New Roman"/>
                <w:color w:val="000000"/>
                <w:kern w:val="0"/>
                <w:sz w:val="21"/>
                <w:szCs w:val="21"/>
              </w:rPr>
            </w:pPr>
          </w:p>
        </w:tc>
        <w:tc>
          <w:tcPr>
            <w:tcW w:w="250"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left"/>
              <w:rPr>
                <w:rFonts w:ascii="仿宋_GB2312" w:hAnsi="Times New Roman" w:cs="Times New Roman"/>
                <w:color w:val="000000"/>
                <w:kern w:val="0"/>
                <w:sz w:val="21"/>
                <w:szCs w:val="21"/>
              </w:rPr>
            </w:pPr>
          </w:p>
        </w:tc>
        <w:tc>
          <w:tcPr>
            <w:tcW w:w="250"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left"/>
              <w:rPr>
                <w:rFonts w:ascii="仿宋_GB2312" w:hAnsi="Times New Roman" w:cs="Times New Roman"/>
                <w:color w:val="000000"/>
                <w:kern w:val="0"/>
                <w:sz w:val="21"/>
                <w:szCs w:val="21"/>
              </w:rPr>
            </w:pPr>
          </w:p>
        </w:tc>
        <w:tc>
          <w:tcPr>
            <w:tcW w:w="443" w:type="pct"/>
            <w:tcBorders>
              <w:top w:val="single" w:color="auto" w:sz="4" w:space="0"/>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仿宋_GB2312" w:hAnsi="Times New Roman" w:cs="Times New Roman"/>
                <w:color w:val="000000"/>
                <w:kern w:val="0"/>
                <w:sz w:val="21"/>
                <w:szCs w:val="21"/>
              </w:rPr>
            </w:pPr>
            <w:r>
              <w:rPr>
                <w:rFonts w:hint="eastAsia" w:ascii="仿宋_GB2312" w:hAnsi="Times New Roman" w:cs="Times New Roman"/>
                <w:color w:val="000000"/>
                <w:kern w:val="0"/>
                <w:sz w:val="21"/>
                <w:szCs w:val="21"/>
              </w:rPr>
              <w:t>绩效指标明确性</w:t>
            </w:r>
          </w:p>
        </w:tc>
        <w:tc>
          <w:tcPr>
            <w:tcW w:w="266" w:type="pct"/>
            <w:tcBorders>
              <w:top w:val="single" w:color="auto" w:sz="4" w:space="0"/>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仿宋_GB2312" w:hAnsi="Times New Roman" w:cs="Times New Roman"/>
                <w:color w:val="000000"/>
                <w:kern w:val="0"/>
                <w:sz w:val="21"/>
                <w:szCs w:val="21"/>
              </w:rPr>
            </w:pPr>
            <w:r>
              <w:rPr>
                <w:rFonts w:ascii="仿宋_GB2312" w:hAnsi="Times New Roman" w:cs="Times New Roman"/>
                <w:color w:val="000000"/>
                <w:kern w:val="0"/>
                <w:sz w:val="21"/>
                <w:szCs w:val="21"/>
              </w:rPr>
              <w:t>4</w:t>
            </w:r>
          </w:p>
        </w:tc>
        <w:tc>
          <w:tcPr>
            <w:tcW w:w="861" w:type="pct"/>
            <w:tcBorders>
              <w:top w:val="single" w:color="auto" w:sz="4" w:space="0"/>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仿宋_GB2312" w:hAnsi="Times New Roman" w:cs="Times New Roman"/>
                <w:color w:val="000000"/>
                <w:kern w:val="0"/>
                <w:sz w:val="21"/>
                <w:szCs w:val="21"/>
              </w:rPr>
            </w:pPr>
            <w:r>
              <w:rPr>
                <w:rFonts w:hint="eastAsia" w:ascii="仿宋_GB2312" w:hAnsi="Times New Roman" w:cs="Times New Roman"/>
                <w:color w:val="000000"/>
                <w:kern w:val="0"/>
                <w:sz w:val="21"/>
                <w:szCs w:val="21"/>
              </w:rPr>
              <w:t>依据绩效目标设定的绩效指标是否清晰、细化、可衡量等，用以反映和考核项目绩效目标的明细化情况。</w:t>
            </w:r>
          </w:p>
        </w:tc>
        <w:tc>
          <w:tcPr>
            <w:tcW w:w="1746" w:type="pct"/>
            <w:tcBorders>
              <w:top w:val="single" w:color="auto" w:sz="4" w:space="0"/>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仿宋_GB2312" w:hAnsi="Times New Roman" w:cs="Times New Roman"/>
                <w:color w:val="000000"/>
                <w:kern w:val="0"/>
                <w:sz w:val="21"/>
                <w:szCs w:val="21"/>
              </w:rPr>
            </w:pPr>
            <w:r>
              <w:rPr>
                <w:rFonts w:hint="eastAsia" w:ascii="仿宋_GB2312" w:hAnsi="Times New Roman" w:cs="Times New Roman"/>
                <w:color w:val="000000"/>
                <w:kern w:val="0"/>
                <w:sz w:val="21"/>
                <w:szCs w:val="21"/>
              </w:rPr>
              <w:t>①将项目绩效目标细化分解为具体的绩效指标，得1分。</w:t>
            </w:r>
            <w:r>
              <w:rPr>
                <w:rFonts w:ascii="仿宋_GB2312" w:hAnsi="Times New Roman" w:cs="Times New Roman"/>
                <w:color w:val="000000"/>
                <w:kern w:val="0"/>
                <w:sz w:val="21"/>
                <w:szCs w:val="21"/>
              </w:rPr>
              <w:br w:type="textWrapping"/>
            </w:r>
            <w:r>
              <w:rPr>
                <w:rFonts w:hint="eastAsia" w:ascii="仿宋_GB2312" w:hAnsi="Times New Roman" w:cs="Times New Roman"/>
                <w:color w:val="000000"/>
                <w:kern w:val="0"/>
                <w:sz w:val="21"/>
                <w:szCs w:val="21"/>
              </w:rPr>
              <w:t xml:space="preserve">②绩效指标通过清晰、可衡量的指标值予以体现，得1分。 </w:t>
            </w:r>
            <w:r>
              <w:rPr>
                <w:rFonts w:ascii="仿宋_GB2312" w:hAnsi="Times New Roman" w:cs="Times New Roman"/>
                <w:color w:val="000000"/>
                <w:kern w:val="0"/>
                <w:sz w:val="21"/>
                <w:szCs w:val="21"/>
              </w:rPr>
              <w:br w:type="textWrapping"/>
            </w:r>
            <w:r>
              <w:rPr>
                <w:rFonts w:hint="eastAsia" w:ascii="仿宋_GB2312" w:hAnsi="Times New Roman" w:cs="Times New Roman"/>
                <w:color w:val="000000"/>
                <w:kern w:val="0"/>
                <w:sz w:val="21"/>
                <w:szCs w:val="21"/>
              </w:rPr>
              <w:t>③绩效指标与项目目标任务数或计划数相对应，得1分。</w:t>
            </w:r>
            <w:r>
              <w:rPr>
                <w:rFonts w:ascii="仿宋_GB2312" w:hAnsi="Times New Roman" w:cs="Times New Roman"/>
                <w:color w:val="000000"/>
                <w:kern w:val="0"/>
                <w:sz w:val="21"/>
                <w:szCs w:val="21"/>
              </w:rPr>
              <w:br w:type="textWrapping"/>
            </w:r>
            <w:r>
              <w:rPr>
                <w:rFonts w:hint="eastAsia" w:ascii="仿宋_GB2312" w:hAnsi="Times New Roman" w:cs="Times New Roman"/>
                <w:color w:val="000000"/>
                <w:kern w:val="0"/>
                <w:sz w:val="21"/>
                <w:szCs w:val="21"/>
              </w:rPr>
              <w:t>④绩效指标完整、科学、可衡量，得1分。</w:t>
            </w:r>
          </w:p>
        </w:tc>
        <w:tc>
          <w:tcPr>
            <w:tcW w:w="303" w:type="pct"/>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Times New Roman" w:cs="Times New Roman"/>
                <w:color w:val="000000"/>
                <w:kern w:val="0"/>
                <w:sz w:val="21"/>
                <w:szCs w:val="21"/>
              </w:rPr>
            </w:pPr>
            <w:r>
              <w:rPr>
                <w:rFonts w:ascii="仿宋_GB2312" w:hAnsi="Times New Roman" w:cs="Times New Roman"/>
                <w:color w:val="000000"/>
                <w:kern w:val="0"/>
                <w:sz w:val="21"/>
                <w:szCs w:val="21"/>
              </w:rPr>
              <w:t>4</w:t>
            </w:r>
          </w:p>
        </w:tc>
        <w:tc>
          <w:tcPr>
            <w:tcW w:w="381" w:type="pct"/>
            <w:tcBorders>
              <w:top w:val="single" w:color="auto" w:sz="4" w:space="0"/>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仿宋_GB2312" w:hAnsi="Times New Roman" w:cs="Times New Roman"/>
                <w:color w:val="000000"/>
                <w:kern w:val="0"/>
                <w:sz w:val="21"/>
                <w:szCs w:val="21"/>
              </w:rPr>
            </w:pPr>
          </w:p>
        </w:tc>
      </w:tr>
      <w:tr>
        <w:tblPrEx>
          <w:tblCellMar>
            <w:top w:w="0" w:type="dxa"/>
            <w:left w:w="108" w:type="dxa"/>
            <w:bottom w:w="0" w:type="dxa"/>
            <w:right w:w="108" w:type="dxa"/>
          </w:tblCellMar>
        </w:tblPrEx>
        <w:trPr>
          <w:trHeight w:val="702" w:hRule="atLeast"/>
        </w:trPr>
        <w:tc>
          <w:tcPr>
            <w:tcW w:w="250"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left"/>
              <w:rPr>
                <w:rFonts w:ascii="仿宋_GB2312" w:hAnsi="Times New Roman" w:cs="Times New Roman"/>
                <w:color w:val="000000"/>
                <w:kern w:val="0"/>
                <w:sz w:val="21"/>
                <w:szCs w:val="21"/>
              </w:rPr>
            </w:pPr>
          </w:p>
        </w:tc>
        <w:tc>
          <w:tcPr>
            <w:tcW w:w="250"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left"/>
              <w:rPr>
                <w:rFonts w:ascii="仿宋_GB2312" w:hAnsi="Times New Roman" w:cs="Times New Roman"/>
                <w:color w:val="000000"/>
                <w:kern w:val="0"/>
                <w:sz w:val="21"/>
                <w:szCs w:val="21"/>
              </w:rPr>
            </w:pPr>
          </w:p>
        </w:tc>
        <w:tc>
          <w:tcPr>
            <w:tcW w:w="250"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仿宋_GB2312" w:hAnsi="Times New Roman" w:cs="Times New Roman"/>
                <w:color w:val="000000"/>
                <w:kern w:val="0"/>
                <w:sz w:val="21"/>
                <w:szCs w:val="21"/>
              </w:rPr>
            </w:pPr>
            <w:r>
              <w:rPr>
                <w:rFonts w:hint="eastAsia" w:ascii="仿宋_GB2312" w:hAnsi="Times New Roman" w:cs="Times New Roman"/>
                <w:color w:val="000000"/>
                <w:kern w:val="0"/>
                <w:sz w:val="21"/>
                <w:szCs w:val="21"/>
              </w:rPr>
              <w:t>资金投入</w:t>
            </w:r>
          </w:p>
        </w:tc>
        <w:tc>
          <w:tcPr>
            <w:tcW w:w="250"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仿宋_GB2312" w:hAnsi="Times New Roman" w:cs="Times New Roman"/>
                <w:color w:val="000000"/>
                <w:kern w:val="0"/>
                <w:sz w:val="21"/>
                <w:szCs w:val="21"/>
              </w:rPr>
            </w:pPr>
            <w:r>
              <w:rPr>
                <w:rFonts w:ascii="仿宋_GB2312" w:hAnsi="Times New Roman" w:cs="Times New Roman"/>
                <w:color w:val="000000"/>
                <w:kern w:val="0"/>
                <w:sz w:val="21"/>
                <w:szCs w:val="21"/>
              </w:rPr>
              <w:t>6</w:t>
            </w:r>
          </w:p>
        </w:tc>
        <w:tc>
          <w:tcPr>
            <w:tcW w:w="443" w:type="pct"/>
            <w:tcBorders>
              <w:top w:val="single" w:color="auto" w:sz="4" w:space="0"/>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仿宋_GB2312" w:hAnsi="Times New Roman" w:cs="Times New Roman"/>
                <w:color w:val="000000"/>
                <w:kern w:val="0"/>
                <w:sz w:val="21"/>
                <w:szCs w:val="21"/>
              </w:rPr>
            </w:pPr>
            <w:r>
              <w:rPr>
                <w:rFonts w:hint="eastAsia" w:ascii="仿宋_GB2312" w:hAnsi="Times New Roman" w:cs="Times New Roman"/>
                <w:color w:val="000000"/>
                <w:kern w:val="0"/>
                <w:sz w:val="21"/>
                <w:szCs w:val="21"/>
              </w:rPr>
              <w:t>预算编制科学性</w:t>
            </w:r>
          </w:p>
        </w:tc>
        <w:tc>
          <w:tcPr>
            <w:tcW w:w="266" w:type="pct"/>
            <w:tcBorders>
              <w:top w:val="single" w:color="auto" w:sz="4" w:space="0"/>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仿宋_GB2312" w:hAnsi="Times New Roman" w:cs="Times New Roman"/>
                <w:color w:val="000000"/>
                <w:kern w:val="0"/>
                <w:sz w:val="21"/>
                <w:szCs w:val="21"/>
              </w:rPr>
            </w:pPr>
            <w:r>
              <w:rPr>
                <w:rFonts w:ascii="仿宋_GB2312" w:hAnsi="Times New Roman" w:cs="Times New Roman"/>
                <w:color w:val="000000"/>
                <w:kern w:val="0"/>
                <w:sz w:val="21"/>
                <w:szCs w:val="21"/>
              </w:rPr>
              <w:t>4</w:t>
            </w:r>
          </w:p>
        </w:tc>
        <w:tc>
          <w:tcPr>
            <w:tcW w:w="861" w:type="pct"/>
            <w:tcBorders>
              <w:top w:val="single" w:color="auto" w:sz="4" w:space="0"/>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仿宋_GB2312" w:hAnsi="Times New Roman" w:cs="Times New Roman"/>
                <w:color w:val="000000"/>
                <w:kern w:val="0"/>
                <w:sz w:val="21"/>
                <w:szCs w:val="21"/>
              </w:rPr>
            </w:pPr>
            <w:r>
              <w:rPr>
                <w:rFonts w:hint="eastAsia" w:ascii="仿宋_GB2312" w:hAnsi="Times New Roman" w:cs="Times New Roman"/>
                <w:color w:val="000000"/>
                <w:kern w:val="0"/>
                <w:sz w:val="21"/>
                <w:szCs w:val="21"/>
              </w:rPr>
              <w:t>项目预算编制是否经过科学论证、有明确标准，资金额度与年度目标是否相适应，用以反映和考核项目预算编制的科学性、合理性情况。</w:t>
            </w:r>
          </w:p>
        </w:tc>
        <w:tc>
          <w:tcPr>
            <w:tcW w:w="1746" w:type="pct"/>
            <w:tcBorders>
              <w:top w:val="single" w:color="auto" w:sz="4" w:space="0"/>
              <w:left w:val="nil"/>
              <w:bottom w:val="single" w:color="auto" w:sz="4" w:space="0"/>
              <w:right w:val="single" w:color="auto" w:sz="4" w:space="0"/>
            </w:tcBorders>
            <w:shd w:val="clear" w:color="auto" w:fill="auto"/>
            <w:vAlign w:val="center"/>
          </w:tcPr>
          <w:p>
            <w:pPr>
              <w:widowControl/>
              <w:spacing w:line="240" w:lineRule="auto"/>
              <w:ind w:firstLine="0" w:firstLineChars="0"/>
              <w:rPr>
                <w:rFonts w:ascii="仿宋_GB2312" w:hAnsi="Times New Roman" w:cs="Times New Roman"/>
                <w:color w:val="000000"/>
                <w:kern w:val="0"/>
                <w:sz w:val="21"/>
                <w:szCs w:val="21"/>
              </w:rPr>
            </w:pPr>
            <w:r>
              <w:rPr>
                <w:rFonts w:hint="eastAsia" w:ascii="仿宋_GB2312" w:hAnsi="Times New Roman" w:cs="Times New Roman"/>
                <w:color w:val="000000"/>
                <w:kern w:val="0"/>
                <w:sz w:val="21"/>
                <w:szCs w:val="21"/>
              </w:rPr>
              <w:t>①预算编制经过科学论证，得1分。</w:t>
            </w:r>
            <w:r>
              <w:rPr>
                <w:rFonts w:ascii="仿宋_GB2312" w:hAnsi="Times New Roman" w:cs="Times New Roman"/>
                <w:color w:val="000000"/>
                <w:kern w:val="0"/>
                <w:sz w:val="21"/>
                <w:szCs w:val="21"/>
              </w:rPr>
              <w:br w:type="textWrapping"/>
            </w:r>
            <w:r>
              <w:rPr>
                <w:rFonts w:hint="eastAsia" w:ascii="仿宋_GB2312" w:hAnsi="Times New Roman" w:cs="Times New Roman"/>
                <w:color w:val="000000"/>
                <w:kern w:val="0"/>
                <w:sz w:val="21"/>
                <w:szCs w:val="21"/>
              </w:rPr>
              <w:t>②预算内容与项目内容匹配；，得1分。</w:t>
            </w:r>
            <w:r>
              <w:rPr>
                <w:rFonts w:ascii="仿宋_GB2312" w:hAnsi="Times New Roman" w:cs="Times New Roman"/>
                <w:color w:val="000000"/>
                <w:kern w:val="0"/>
                <w:sz w:val="21"/>
                <w:szCs w:val="21"/>
              </w:rPr>
              <w:br w:type="textWrapping"/>
            </w:r>
            <w:r>
              <w:rPr>
                <w:rFonts w:hint="eastAsia" w:ascii="仿宋_GB2312" w:hAnsi="Times New Roman" w:cs="Times New Roman"/>
                <w:color w:val="000000"/>
                <w:kern w:val="0"/>
                <w:sz w:val="21"/>
                <w:szCs w:val="21"/>
              </w:rPr>
              <w:t>③预算额度测算依据充分，按照标准编制，得1分。</w:t>
            </w:r>
            <w:r>
              <w:rPr>
                <w:rFonts w:ascii="仿宋_GB2312" w:hAnsi="Times New Roman" w:cs="Times New Roman"/>
                <w:color w:val="000000"/>
                <w:kern w:val="0"/>
                <w:sz w:val="21"/>
                <w:szCs w:val="21"/>
              </w:rPr>
              <w:br w:type="textWrapping"/>
            </w:r>
            <w:r>
              <w:rPr>
                <w:rFonts w:hint="eastAsia" w:ascii="仿宋_GB2312" w:hAnsi="Times New Roman" w:cs="Times New Roman"/>
                <w:color w:val="000000"/>
                <w:kern w:val="0"/>
                <w:sz w:val="21"/>
                <w:szCs w:val="21"/>
              </w:rPr>
              <w:t>④预算确定的项目投资额或资金量与工作任务相匹配，得1分。</w:t>
            </w:r>
          </w:p>
        </w:tc>
        <w:tc>
          <w:tcPr>
            <w:tcW w:w="303" w:type="pct"/>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Times New Roman" w:cs="Times New Roman"/>
                <w:color w:val="000000"/>
                <w:kern w:val="0"/>
                <w:sz w:val="21"/>
                <w:szCs w:val="21"/>
              </w:rPr>
            </w:pPr>
            <w:r>
              <w:rPr>
                <w:rFonts w:ascii="仿宋_GB2312" w:hAnsi="Times New Roman" w:cs="Times New Roman"/>
                <w:color w:val="000000"/>
                <w:kern w:val="0"/>
                <w:sz w:val="21"/>
                <w:szCs w:val="21"/>
              </w:rPr>
              <w:t>4</w:t>
            </w:r>
          </w:p>
        </w:tc>
        <w:tc>
          <w:tcPr>
            <w:tcW w:w="381" w:type="pct"/>
            <w:tcBorders>
              <w:top w:val="single" w:color="auto" w:sz="4" w:space="0"/>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仿宋_GB2312" w:hAnsi="Times New Roman" w:cs="Times New Roman"/>
                <w:color w:val="000000"/>
                <w:kern w:val="0"/>
                <w:sz w:val="21"/>
                <w:szCs w:val="21"/>
              </w:rPr>
            </w:pPr>
          </w:p>
        </w:tc>
      </w:tr>
      <w:tr>
        <w:tblPrEx>
          <w:tblCellMar>
            <w:top w:w="0" w:type="dxa"/>
            <w:left w:w="108" w:type="dxa"/>
            <w:bottom w:w="0" w:type="dxa"/>
            <w:right w:w="108" w:type="dxa"/>
          </w:tblCellMar>
        </w:tblPrEx>
        <w:trPr>
          <w:trHeight w:val="1550" w:hRule="atLeast"/>
        </w:trPr>
        <w:tc>
          <w:tcPr>
            <w:tcW w:w="250"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left"/>
              <w:rPr>
                <w:rFonts w:ascii="仿宋_GB2312" w:hAnsi="Times New Roman" w:cs="Times New Roman"/>
                <w:color w:val="000000"/>
                <w:kern w:val="0"/>
                <w:sz w:val="21"/>
                <w:szCs w:val="21"/>
              </w:rPr>
            </w:pPr>
          </w:p>
        </w:tc>
        <w:tc>
          <w:tcPr>
            <w:tcW w:w="250"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left"/>
              <w:rPr>
                <w:rFonts w:ascii="仿宋_GB2312" w:hAnsi="Times New Roman" w:cs="Times New Roman"/>
                <w:color w:val="000000"/>
                <w:kern w:val="0"/>
                <w:sz w:val="21"/>
                <w:szCs w:val="21"/>
              </w:rPr>
            </w:pPr>
          </w:p>
        </w:tc>
        <w:tc>
          <w:tcPr>
            <w:tcW w:w="250"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left"/>
              <w:rPr>
                <w:rFonts w:ascii="仿宋_GB2312" w:hAnsi="Times New Roman" w:cs="Times New Roman"/>
                <w:color w:val="000000"/>
                <w:kern w:val="0"/>
                <w:sz w:val="21"/>
                <w:szCs w:val="21"/>
              </w:rPr>
            </w:pPr>
          </w:p>
        </w:tc>
        <w:tc>
          <w:tcPr>
            <w:tcW w:w="250"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left"/>
              <w:rPr>
                <w:rFonts w:ascii="仿宋_GB2312" w:hAnsi="Times New Roman" w:cs="Times New Roman"/>
                <w:color w:val="000000"/>
                <w:kern w:val="0"/>
                <w:sz w:val="21"/>
                <w:szCs w:val="21"/>
              </w:rPr>
            </w:pPr>
          </w:p>
        </w:tc>
        <w:tc>
          <w:tcPr>
            <w:tcW w:w="443" w:type="pct"/>
            <w:tcBorders>
              <w:top w:val="single" w:color="auto" w:sz="4" w:space="0"/>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仿宋_GB2312" w:hAnsi="Times New Roman" w:cs="Times New Roman"/>
                <w:color w:val="000000"/>
                <w:kern w:val="0"/>
                <w:sz w:val="21"/>
                <w:szCs w:val="21"/>
              </w:rPr>
            </w:pPr>
            <w:r>
              <w:rPr>
                <w:rFonts w:hint="eastAsia" w:ascii="仿宋_GB2312" w:hAnsi="Times New Roman" w:cs="Times New Roman"/>
                <w:color w:val="000000"/>
                <w:kern w:val="0"/>
                <w:sz w:val="21"/>
                <w:szCs w:val="21"/>
              </w:rPr>
              <w:t>资金分配合理性</w:t>
            </w:r>
          </w:p>
        </w:tc>
        <w:tc>
          <w:tcPr>
            <w:tcW w:w="266" w:type="pct"/>
            <w:tcBorders>
              <w:top w:val="single" w:color="auto" w:sz="4" w:space="0"/>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仿宋_GB2312" w:hAnsi="Times New Roman" w:cs="Times New Roman"/>
                <w:color w:val="000000"/>
                <w:kern w:val="0"/>
                <w:sz w:val="21"/>
                <w:szCs w:val="21"/>
              </w:rPr>
            </w:pPr>
            <w:r>
              <w:rPr>
                <w:rFonts w:ascii="仿宋_GB2312" w:hAnsi="Times New Roman" w:cs="Times New Roman"/>
                <w:color w:val="000000"/>
                <w:kern w:val="0"/>
                <w:sz w:val="21"/>
                <w:szCs w:val="21"/>
              </w:rPr>
              <w:t>2</w:t>
            </w:r>
          </w:p>
        </w:tc>
        <w:tc>
          <w:tcPr>
            <w:tcW w:w="861" w:type="pct"/>
            <w:tcBorders>
              <w:top w:val="single" w:color="auto" w:sz="4" w:space="0"/>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仿宋_GB2312" w:hAnsi="Times New Roman" w:cs="Times New Roman"/>
                <w:color w:val="000000"/>
                <w:kern w:val="0"/>
                <w:sz w:val="21"/>
                <w:szCs w:val="21"/>
              </w:rPr>
            </w:pPr>
            <w:r>
              <w:rPr>
                <w:rFonts w:hint="eastAsia" w:ascii="仿宋_GB2312" w:hAnsi="Times New Roman" w:cs="Times New Roman"/>
                <w:color w:val="000000"/>
                <w:kern w:val="0"/>
                <w:sz w:val="21"/>
                <w:szCs w:val="21"/>
              </w:rPr>
              <w:t>项目预算资金分配是否有测算依据，与补助单位或地方实际是否相适应，用以反映和考核项目预算资金分配的科学性、合理性情况。</w:t>
            </w:r>
          </w:p>
        </w:tc>
        <w:tc>
          <w:tcPr>
            <w:tcW w:w="1746" w:type="pct"/>
            <w:tcBorders>
              <w:top w:val="single" w:color="auto" w:sz="4" w:space="0"/>
              <w:left w:val="nil"/>
              <w:bottom w:val="single" w:color="auto" w:sz="4" w:space="0"/>
              <w:right w:val="single" w:color="auto" w:sz="4" w:space="0"/>
            </w:tcBorders>
            <w:shd w:val="clear" w:color="auto" w:fill="auto"/>
            <w:vAlign w:val="center"/>
          </w:tcPr>
          <w:p>
            <w:pPr>
              <w:widowControl/>
              <w:spacing w:line="240" w:lineRule="auto"/>
              <w:ind w:firstLine="0" w:firstLineChars="0"/>
              <w:rPr>
                <w:rFonts w:ascii="仿宋_GB2312" w:hAnsi="Times New Roman" w:cs="Times New Roman"/>
                <w:color w:val="000000"/>
                <w:kern w:val="0"/>
                <w:sz w:val="21"/>
                <w:szCs w:val="21"/>
              </w:rPr>
            </w:pPr>
            <w:r>
              <w:rPr>
                <w:rFonts w:hint="eastAsia" w:ascii="仿宋_GB2312" w:hAnsi="Times New Roman" w:cs="Times New Roman"/>
                <w:color w:val="000000"/>
                <w:kern w:val="0"/>
                <w:sz w:val="21"/>
                <w:szCs w:val="21"/>
              </w:rPr>
              <w:t xml:space="preserve">①预算资金分配依据充分，体现厉行节约从严从紧安排的导向，得1分。 </w:t>
            </w:r>
            <w:r>
              <w:rPr>
                <w:rFonts w:ascii="仿宋_GB2312" w:hAnsi="Times New Roman" w:cs="Times New Roman"/>
                <w:color w:val="000000"/>
                <w:kern w:val="0"/>
                <w:sz w:val="21"/>
                <w:szCs w:val="21"/>
              </w:rPr>
              <w:br w:type="textWrapping"/>
            </w:r>
            <w:r>
              <w:rPr>
                <w:rFonts w:hint="eastAsia" w:ascii="仿宋_GB2312" w:hAnsi="Times New Roman" w:cs="Times New Roman"/>
                <w:color w:val="000000"/>
                <w:kern w:val="0"/>
                <w:sz w:val="21"/>
                <w:szCs w:val="21"/>
              </w:rPr>
              <w:t>②资金分配额度合理，与项目单位相适应，得1分。</w:t>
            </w:r>
          </w:p>
        </w:tc>
        <w:tc>
          <w:tcPr>
            <w:tcW w:w="303" w:type="pct"/>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Times New Roman" w:cs="Times New Roman"/>
                <w:color w:val="000000"/>
                <w:kern w:val="0"/>
                <w:sz w:val="21"/>
                <w:szCs w:val="21"/>
              </w:rPr>
            </w:pPr>
            <w:r>
              <w:rPr>
                <w:rFonts w:ascii="仿宋_GB2312" w:hAnsi="Times New Roman" w:cs="Times New Roman"/>
                <w:color w:val="000000"/>
                <w:kern w:val="0"/>
                <w:sz w:val="21"/>
                <w:szCs w:val="21"/>
              </w:rPr>
              <w:t>2</w:t>
            </w:r>
          </w:p>
        </w:tc>
        <w:tc>
          <w:tcPr>
            <w:tcW w:w="381" w:type="pct"/>
            <w:tcBorders>
              <w:top w:val="single" w:color="auto" w:sz="4" w:space="0"/>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仿宋_GB2312" w:hAnsi="Times New Roman" w:cs="Times New Roman"/>
                <w:color w:val="000000"/>
                <w:kern w:val="0"/>
                <w:sz w:val="21"/>
                <w:szCs w:val="21"/>
              </w:rPr>
            </w:pPr>
            <w:r>
              <w:rPr>
                <w:rFonts w:hint="eastAsia" w:ascii="仿宋_GB2312" w:hAnsi="Times New Roman" w:cs="Times New Roman"/>
                <w:color w:val="000000"/>
                <w:kern w:val="0"/>
                <w:sz w:val="21"/>
                <w:szCs w:val="21"/>
              </w:rPr>
              <w:t>　</w:t>
            </w:r>
          </w:p>
        </w:tc>
      </w:tr>
      <w:tr>
        <w:tblPrEx>
          <w:tblCellMar>
            <w:top w:w="0" w:type="dxa"/>
            <w:left w:w="108" w:type="dxa"/>
            <w:bottom w:w="0" w:type="dxa"/>
            <w:right w:w="108" w:type="dxa"/>
          </w:tblCellMar>
        </w:tblPrEx>
        <w:trPr>
          <w:trHeight w:val="2070" w:hRule="atLeast"/>
        </w:trPr>
        <w:tc>
          <w:tcPr>
            <w:tcW w:w="250"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仿宋_GB2312" w:hAnsi="Times New Roman" w:cs="Times New Roman"/>
                <w:color w:val="000000"/>
                <w:kern w:val="0"/>
                <w:sz w:val="21"/>
                <w:szCs w:val="21"/>
              </w:rPr>
            </w:pPr>
            <w:r>
              <w:rPr>
                <w:rFonts w:hint="eastAsia" w:ascii="仿宋_GB2312" w:hAnsi="Times New Roman" w:cs="Times New Roman"/>
                <w:color w:val="000000"/>
                <w:kern w:val="0"/>
                <w:sz w:val="21"/>
                <w:szCs w:val="21"/>
              </w:rPr>
              <w:t>项目过程</w:t>
            </w:r>
          </w:p>
        </w:tc>
        <w:tc>
          <w:tcPr>
            <w:tcW w:w="250"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仿宋_GB2312" w:hAnsi="Times New Roman" w:cs="Times New Roman"/>
                <w:color w:val="000000"/>
                <w:kern w:val="0"/>
                <w:sz w:val="21"/>
                <w:szCs w:val="21"/>
              </w:rPr>
            </w:pPr>
            <w:r>
              <w:rPr>
                <w:rFonts w:ascii="仿宋_GB2312" w:hAnsi="Times New Roman" w:cs="Times New Roman"/>
                <w:color w:val="000000"/>
                <w:kern w:val="0"/>
                <w:sz w:val="21"/>
                <w:szCs w:val="21"/>
              </w:rPr>
              <w:t>20</w:t>
            </w:r>
          </w:p>
        </w:tc>
        <w:tc>
          <w:tcPr>
            <w:tcW w:w="250"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仿宋_GB2312" w:hAnsi="Times New Roman" w:cs="Times New Roman"/>
                <w:color w:val="000000"/>
                <w:kern w:val="0"/>
                <w:sz w:val="21"/>
                <w:szCs w:val="21"/>
              </w:rPr>
            </w:pPr>
            <w:r>
              <w:rPr>
                <w:rFonts w:hint="eastAsia" w:ascii="仿宋_GB2312" w:hAnsi="Times New Roman" w:cs="Times New Roman"/>
                <w:color w:val="000000"/>
                <w:kern w:val="0"/>
                <w:sz w:val="21"/>
                <w:szCs w:val="21"/>
              </w:rPr>
              <w:t>资金管理</w:t>
            </w:r>
          </w:p>
        </w:tc>
        <w:tc>
          <w:tcPr>
            <w:tcW w:w="250"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仿宋_GB2312" w:hAnsi="Times New Roman" w:cs="Times New Roman"/>
                <w:color w:val="000000"/>
                <w:kern w:val="0"/>
                <w:sz w:val="21"/>
                <w:szCs w:val="21"/>
              </w:rPr>
            </w:pPr>
            <w:r>
              <w:rPr>
                <w:rFonts w:ascii="仿宋_GB2312" w:hAnsi="Times New Roman" w:cs="Times New Roman"/>
                <w:color w:val="000000"/>
                <w:kern w:val="0"/>
                <w:sz w:val="21"/>
                <w:szCs w:val="21"/>
              </w:rPr>
              <w:t>12</w:t>
            </w:r>
          </w:p>
        </w:tc>
        <w:tc>
          <w:tcPr>
            <w:tcW w:w="443" w:type="pct"/>
            <w:tcBorders>
              <w:top w:val="single" w:color="auto" w:sz="4" w:space="0"/>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仿宋_GB2312" w:hAnsi="Times New Roman" w:cs="Times New Roman"/>
                <w:color w:val="000000"/>
                <w:kern w:val="0"/>
                <w:sz w:val="21"/>
                <w:szCs w:val="21"/>
              </w:rPr>
            </w:pPr>
            <w:r>
              <w:rPr>
                <w:rFonts w:hint="eastAsia" w:ascii="仿宋_GB2312" w:hAnsi="Times New Roman" w:cs="Times New Roman"/>
                <w:color w:val="000000"/>
                <w:kern w:val="0"/>
                <w:sz w:val="21"/>
                <w:szCs w:val="21"/>
              </w:rPr>
              <w:t>资金到位率</w:t>
            </w:r>
          </w:p>
        </w:tc>
        <w:tc>
          <w:tcPr>
            <w:tcW w:w="266" w:type="pct"/>
            <w:tcBorders>
              <w:top w:val="single" w:color="auto" w:sz="4" w:space="0"/>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仿宋_GB2312" w:hAnsi="Times New Roman" w:cs="Times New Roman"/>
                <w:color w:val="000000"/>
                <w:kern w:val="0"/>
                <w:sz w:val="21"/>
                <w:szCs w:val="21"/>
              </w:rPr>
            </w:pPr>
            <w:r>
              <w:rPr>
                <w:rFonts w:ascii="仿宋_GB2312" w:hAnsi="Times New Roman" w:cs="Times New Roman"/>
                <w:color w:val="000000"/>
                <w:kern w:val="0"/>
                <w:sz w:val="21"/>
                <w:szCs w:val="21"/>
              </w:rPr>
              <w:t>4</w:t>
            </w:r>
          </w:p>
        </w:tc>
        <w:tc>
          <w:tcPr>
            <w:tcW w:w="861" w:type="pct"/>
            <w:tcBorders>
              <w:top w:val="single" w:color="auto" w:sz="4" w:space="0"/>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仿宋_GB2312" w:hAnsi="Times New Roman" w:cs="Times New Roman"/>
                <w:color w:val="000000"/>
                <w:kern w:val="0"/>
                <w:sz w:val="21"/>
                <w:szCs w:val="21"/>
              </w:rPr>
            </w:pPr>
            <w:r>
              <w:rPr>
                <w:rFonts w:hint="eastAsia" w:ascii="仿宋_GB2312" w:hAnsi="Times New Roman" w:cs="Times New Roman"/>
                <w:color w:val="000000"/>
                <w:kern w:val="0"/>
                <w:sz w:val="21"/>
                <w:szCs w:val="21"/>
              </w:rPr>
              <w:t>实际到位资金与预算资金的比率，用以反映和考核资金落实情况对项目实施的总体保障程度。</w:t>
            </w:r>
          </w:p>
        </w:tc>
        <w:tc>
          <w:tcPr>
            <w:tcW w:w="1746" w:type="pct"/>
            <w:tcBorders>
              <w:top w:val="single" w:color="auto" w:sz="4" w:space="0"/>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仿宋_GB2312" w:hAnsi="Times New Roman" w:cs="Times New Roman"/>
                <w:color w:val="000000"/>
                <w:kern w:val="0"/>
                <w:sz w:val="21"/>
                <w:szCs w:val="21"/>
              </w:rPr>
            </w:pPr>
            <w:r>
              <w:rPr>
                <w:rFonts w:hint="eastAsia" w:ascii="仿宋_GB2312" w:hAnsi="Times New Roman" w:cs="Times New Roman"/>
                <w:color w:val="000000"/>
                <w:kern w:val="0"/>
                <w:sz w:val="21"/>
                <w:szCs w:val="21"/>
              </w:rPr>
              <w:t>本指标得分=本指标满分值*资金到位率</w:t>
            </w:r>
            <w:r>
              <w:rPr>
                <w:rFonts w:ascii="仿宋_GB2312" w:hAnsi="Times New Roman" w:cs="Times New Roman"/>
                <w:color w:val="000000"/>
                <w:kern w:val="0"/>
                <w:sz w:val="21"/>
                <w:szCs w:val="21"/>
              </w:rPr>
              <w:br w:type="textWrapping"/>
            </w:r>
            <w:r>
              <w:rPr>
                <w:rFonts w:hint="eastAsia" w:ascii="仿宋_GB2312" w:hAnsi="Times New Roman" w:cs="Times New Roman"/>
                <w:color w:val="000000"/>
                <w:kern w:val="0"/>
                <w:sz w:val="21"/>
                <w:szCs w:val="21"/>
              </w:rPr>
              <w:t>资金到位率=（实际到位资金/预算资金）*100%</w:t>
            </w:r>
            <w:r>
              <w:rPr>
                <w:rFonts w:ascii="仿宋_GB2312" w:hAnsi="Times New Roman" w:cs="Times New Roman"/>
                <w:color w:val="000000"/>
                <w:kern w:val="0"/>
                <w:sz w:val="21"/>
                <w:szCs w:val="21"/>
              </w:rPr>
              <w:br w:type="textWrapping"/>
            </w:r>
            <w:r>
              <w:rPr>
                <w:rFonts w:hint="eastAsia" w:ascii="仿宋_GB2312" w:hAnsi="Times New Roman" w:cs="Times New Roman"/>
                <w:color w:val="000000"/>
                <w:kern w:val="0"/>
                <w:sz w:val="21"/>
                <w:szCs w:val="21"/>
              </w:rPr>
              <w:t xml:space="preserve">实际到位资金：一定时期（本年度或项目期）内落实到具体项目的资金。 </w:t>
            </w:r>
            <w:r>
              <w:rPr>
                <w:rFonts w:ascii="仿宋_GB2312" w:hAnsi="Times New Roman" w:cs="Times New Roman"/>
                <w:color w:val="000000"/>
                <w:kern w:val="0"/>
                <w:sz w:val="21"/>
                <w:szCs w:val="21"/>
              </w:rPr>
              <w:br w:type="textWrapping"/>
            </w:r>
            <w:r>
              <w:rPr>
                <w:rFonts w:hint="eastAsia" w:ascii="仿宋_GB2312" w:hAnsi="Times New Roman" w:cs="Times New Roman"/>
                <w:color w:val="000000"/>
                <w:kern w:val="0"/>
                <w:sz w:val="21"/>
                <w:szCs w:val="21"/>
              </w:rPr>
              <w:t>预算资金：一定时期（本年度或项目期）内预算安排到具体项目的资金。</w:t>
            </w:r>
          </w:p>
        </w:tc>
        <w:tc>
          <w:tcPr>
            <w:tcW w:w="303" w:type="pct"/>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Times New Roman" w:cs="Times New Roman"/>
                <w:color w:val="000000"/>
                <w:kern w:val="0"/>
                <w:sz w:val="21"/>
                <w:szCs w:val="21"/>
              </w:rPr>
            </w:pPr>
            <w:r>
              <w:rPr>
                <w:rFonts w:ascii="仿宋_GB2312" w:hAnsi="Times New Roman" w:cs="Times New Roman"/>
                <w:color w:val="000000"/>
                <w:kern w:val="0"/>
                <w:sz w:val="21"/>
                <w:szCs w:val="21"/>
              </w:rPr>
              <w:t>4</w:t>
            </w:r>
          </w:p>
        </w:tc>
        <w:tc>
          <w:tcPr>
            <w:tcW w:w="381" w:type="pct"/>
            <w:tcBorders>
              <w:top w:val="single" w:color="auto" w:sz="4" w:space="0"/>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仿宋_GB2312" w:hAnsi="Times New Roman" w:cs="Times New Roman"/>
                <w:color w:val="000000"/>
                <w:kern w:val="0"/>
                <w:sz w:val="21"/>
                <w:szCs w:val="21"/>
              </w:rPr>
            </w:pPr>
            <w:r>
              <w:rPr>
                <w:rFonts w:hint="eastAsia" w:ascii="仿宋_GB2312" w:hAnsi="Times New Roman" w:cs="Times New Roman"/>
                <w:color w:val="000000"/>
                <w:kern w:val="0"/>
                <w:sz w:val="21"/>
                <w:szCs w:val="21"/>
              </w:rPr>
              <w:t>　</w:t>
            </w:r>
          </w:p>
        </w:tc>
      </w:tr>
      <w:tr>
        <w:tblPrEx>
          <w:tblCellMar>
            <w:top w:w="0" w:type="dxa"/>
            <w:left w:w="108" w:type="dxa"/>
            <w:bottom w:w="0" w:type="dxa"/>
            <w:right w:w="108" w:type="dxa"/>
          </w:tblCellMar>
        </w:tblPrEx>
        <w:trPr>
          <w:trHeight w:val="844" w:hRule="atLeast"/>
        </w:trPr>
        <w:tc>
          <w:tcPr>
            <w:tcW w:w="250"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left"/>
              <w:rPr>
                <w:rFonts w:ascii="仿宋_GB2312" w:hAnsi="Times New Roman" w:cs="Times New Roman"/>
                <w:color w:val="000000"/>
                <w:kern w:val="0"/>
                <w:sz w:val="21"/>
                <w:szCs w:val="21"/>
              </w:rPr>
            </w:pPr>
          </w:p>
        </w:tc>
        <w:tc>
          <w:tcPr>
            <w:tcW w:w="250"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left"/>
              <w:rPr>
                <w:rFonts w:ascii="仿宋_GB2312" w:hAnsi="Times New Roman" w:cs="Times New Roman"/>
                <w:color w:val="000000"/>
                <w:kern w:val="0"/>
                <w:sz w:val="21"/>
                <w:szCs w:val="21"/>
              </w:rPr>
            </w:pPr>
          </w:p>
        </w:tc>
        <w:tc>
          <w:tcPr>
            <w:tcW w:w="250"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left"/>
              <w:rPr>
                <w:rFonts w:ascii="仿宋_GB2312" w:hAnsi="Times New Roman" w:cs="Times New Roman"/>
                <w:color w:val="000000"/>
                <w:kern w:val="0"/>
                <w:sz w:val="21"/>
                <w:szCs w:val="21"/>
              </w:rPr>
            </w:pPr>
          </w:p>
        </w:tc>
        <w:tc>
          <w:tcPr>
            <w:tcW w:w="250"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left"/>
              <w:rPr>
                <w:rFonts w:ascii="仿宋_GB2312" w:hAnsi="Times New Roman" w:cs="Times New Roman"/>
                <w:color w:val="000000"/>
                <w:kern w:val="0"/>
                <w:sz w:val="21"/>
                <w:szCs w:val="21"/>
              </w:rPr>
            </w:pPr>
          </w:p>
        </w:tc>
        <w:tc>
          <w:tcPr>
            <w:tcW w:w="443" w:type="pct"/>
            <w:tcBorders>
              <w:top w:val="single" w:color="auto" w:sz="4" w:space="0"/>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仿宋_GB2312" w:hAnsi="Times New Roman" w:cs="Times New Roman"/>
                <w:color w:val="000000"/>
                <w:kern w:val="0"/>
                <w:sz w:val="21"/>
                <w:szCs w:val="21"/>
              </w:rPr>
            </w:pPr>
            <w:r>
              <w:rPr>
                <w:rFonts w:hint="eastAsia" w:ascii="仿宋_GB2312" w:hAnsi="Times New Roman" w:cs="Times New Roman"/>
                <w:color w:val="000000"/>
                <w:kern w:val="0"/>
                <w:sz w:val="21"/>
                <w:szCs w:val="21"/>
              </w:rPr>
              <w:t>预算执行率</w:t>
            </w:r>
          </w:p>
        </w:tc>
        <w:tc>
          <w:tcPr>
            <w:tcW w:w="266" w:type="pct"/>
            <w:tcBorders>
              <w:top w:val="single" w:color="auto" w:sz="4" w:space="0"/>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仿宋_GB2312" w:hAnsi="Times New Roman" w:cs="Times New Roman"/>
                <w:color w:val="000000"/>
                <w:kern w:val="0"/>
                <w:sz w:val="21"/>
                <w:szCs w:val="21"/>
              </w:rPr>
            </w:pPr>
            <w:r>
              <w:rPr>
                <w:rFonts w:ascii="仿宋_GB2312" w:hAnsi="Times New Roman" w:cs="Times New Roman"/>
                <w:color w:val="000000"/>
                <w:kern w:val="0"/>
                <w:sz w:val="21"/>
                <w:szCs w:val="21"/>
              </w:rPr>
              <w:t>4</w:t>
            </w:r>
          </w:p>
        </w:tc>
        <w:tc>
          <w:tcPr>
            <w:tcW w:w="861" w:type="pct"/>
            <w:tcBorders>
              <w:top w:val="single" w:color="auto" w:sz="4" w:space="0"/>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仿宋_GB2312" w:hAnsi="Times New Roman" w:cs="Times New Roman"/>
                <w:color w:val="000000"/>
                <w:kern w:val="0"/>
                <w:sz w:val="21"/>
                <w:szCs w:val="21"/>
              </w:rPr>
            </w:pPr>
            <w:r>
              <w:rPr>
                <w:rFonts w:hint="eastAsia" w:ascii="仿宋_GB2312" w:hAnsi="Times New Roman" w:cs="Times New Roman"/>
                <w:color w:val="000000"/>
                <w:kern w:val="0"/>
                <w:sz w:val="21"/>
                <w:szCs w:val="21"/>
              </w:rPr>
              <w:t>项目预算资金是否按照计划执行，用以反映或考核项目预算执行情况。</w:t>
            </w:r>
          </w:p>
        </w:tc>
        <w:tc>
          <w:tcPr>
            <w:tcW w:w="1746" w:type="pct"/>
            <w:tcBorders>
              <w:top w:val="single" w:color="auto" w:sz="4" w:space="0"/>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仿宋_GB2312" w:hAnsi="Times New Roman" w:cs="Times New Roman"/>
                <w:color w:val="000000"/>
                <w:kern w:val="0"/>
                <w:sz w:val="21"/>
                <w:szCs w:val="21"/>
              </w:rPr>
            </w:pPr>
            <w:r>
              <w:rPr>
                <w:rFonts w:hint="eastAsia" w:ascii="仿宋_GB2312" w:hAnsi="Times New Roman" w:cs="Times New Roman"/>
                <w:color w:val="000000"/>
                <w:kern w:val="0"/>
                <w:sz w:val="21"/>
                <w:szCs w:val="21"/>
              </w:rPr>
              <w:t>本指标得分=本指标满分值*预算执行率</w:t>
            </w:r>
            <w:r>
              <w:rPr>
                <w:rFonts w:ascii="仿宋_GB2312" w:hAnsi="Times New Roman" w:cs="Times New Roman"/>
                <w:color w:val="000000"/>
                <w:kern w:val="0"/>
                <w:sz w:val="21"/>
                <w:szCs w:val="21"/>
              </w:rPr>
              <w:br w:type="textWrapping"/>
            </w:r>
            <w:r>
              <w:rPr>
                <w:rFonts w:hint="eastAsia" w:ascii="仿宋_GB2312" w:hAnsi="Times New Roman" w:cs="Times New Roman"/>
                <w:color w:val="000000"/>
                <w:kern w:val="0"/>
                <w:sz w:val="21"/>
                <w:szCs w:val="21"/>
              </w:rPr>
              <w:t>预算执行率=（实际支出资金/实际到位资金）*100%</w:t>
            </w:r>
            <w:r>
              <w:rPr>
                <w:rFonts w:ascii="仿宋_GB2312" w:hAnsi="Times New Roman" w:cs="Times New Roman"/>
                <w:color w:val="000000"/>
                <w:kern w:val="0"/>
                <w:sz w:val="21"/>
                <w:szCs w:val="21"/>
              </w:rPr>
              <w:br w:type="textWrapping"/>
            </w:r>
            <w:r>
              <w:rPr>
                <w:rFonts w:hint="eastAsia" w:ascii="仿宋_GB2312" w:hAnsi="Times New Roman" w:cs="Times New Roman"/>
                <w:color w:val="000000"/>
                <w:kern w:val="0"/>
                <w:sz w:val="21"/>
                <w:szCs w:val="21"/>
              </w:rPr>
              <w:t>实际支出资金：一定时期（本年度或项目期）内项目实际拨付的资金。</w:t>
            </w:r>
          </w:p>
        </w:tc>
        <w:tc>
          <w:tcPr>
            <w:tcW w:w="303" w:type="pct"/>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Times New Roman" w:cs="Times New Roman"/>
                <w:color w:val="000000"/>
                <w:kern w:val="0"/>
                <w:sz w:val="21"/>
                <w:szCs w:val="21"/>
              </w:rPr>
            </w:pPr>
            <w:r>
              <w:rPr>
                <w:rFonts w:ascii="仿宋_GB2312" w:hAnsi="Times New Roman" w:cs="Times New Roman"/>
                <w:color w:val="000000"/>
                <w:kern w:val="0"/>
                <w:sz w:val="21"/>
                <w:szCs w:val="21"/>
              </w:rPr>
              <w:t>3.98</w:t>
            </w:r>
          </w:p>
        </w:tc>
        <w:tc>
          <w:tcPr>
            <w:tcW w:w="381" w:type="pct"/>
            <w:tcBorders>
              <w:top w:val="single" w:color="auto" w:sz="4" w:space="0"/>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仿宋_GB2312" w:hAnsi="Times New Roman" w:cs="Times New Roman"/>
                <w:color w:val="000000"/>
                <w:kern w:val="0"/>
                <w:sz w:val="21"/>
                <w:szCs w:val="21"/>
              </w:rPr>
            </w:pPr>
          </w:p>
        </w:tc>
      </w:tr>
      <w:tr>
        <w:tblPrEx>
          <w:tblCellMar>
            <w:top w:w="0" w:type="dxa"/>
            <w:left w:w="108" w:type="dxa"/>
            <w:bottom w:w="0" w:type="dxa"/>
            <w:right w:w="108" w:type="dxa"/>
          </w:tblCellMar>
        </w:tblPrEx>
        <w:trPr>
          <w:trHeight w:val="1930" w:hRule="atLeast"/>
        </w:trPr>
        <w:tc>
          <w:tcPr>
            <w:tcW w:w="250"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left"/>
              <w:rPr>
                <w:rFonts w:ascii="仿宋_GB2312" w:hAnsi="Times New Roman" w:cs="Times New Roman"/>
                <w:color w:val="000000"/>
                <w:kern w:val="0"/>
                <w:sz w:val="21"/>
                <w:szCs w:val="21"/>
              </w:rPr>
            </w:pPr>
          </w:p>
        </w:tc>
        <w:tc>
          <w:tcPr>
            <w:tcW w:w="250"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left"/>
              <w:rPr>
                <w:rFonts w:ascii="仿宋_GB2312" w:hAnsi="Times New Roman" w:cs="Times New Roman"/>
                <w:color w:val="000000"/>
                <w:kern w:val="0"/>
                <w:sz w:val="21"/>
                <w:szCs w:val="21"/>
              </w:rPr>
            </w:pPr>
          </w:p>
        </w:tc>
        <w:tc>
          <w:tcPr>
            <w:tcW w:w="250"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left"/>
              <w:rPr>
                <w:rFonts w:ascii="仿宋_GB2312" w:hAnsi="Times New Roman" w:cs="Times New Roman"/>
                <w:color w:val="000000"/>
                <w:kern w:val="0"/>
                <w:sz w:val="21"/>
                <w:szCs w:val="21"/>
              </w:rPr>
            </w:pPr>
          </w:p>
        </w:tc>
        <w:tc>
          <w:tcPr>
            <w:tcW w:w="250"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left"/>
              <w:rPr>
                <w:rFonts w:ascii="仿宋_GB2312" w:hAnsi="Times New Roman" w:cs="Times New Roman"/>
                <w:color w:val="000000"/>
                <w:kern w:val="0"/>
                <w:sz w:val="21"/>
                <w:szCs w:val="21"/>
              </w:rPr>
            </w:pPr>
          </w:p>
        </w:tc>
        <w:tc>
          <w:tcPr>
            <w:tcW w:w="443" w:type="pct"/>
            <w:tcBorders>
              <w:top w:val="single" w:color="auto" w:sz="4" w:space="0"/>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仿宋_GB2312" w:hAnsi="Times New Roman" w:cs="Times New Roman"/>
                <w:color w:val="000000"/>
                <w:kern w:val="0"/>
                <w:sz w:val="21"/>
                <w:szCs w:val="21"/>
              </w:rPr>
            </w:pPr>
            <w:r>
              <w:rPr>
                <w:rFonts w:hint="eastAsia" w:ascii="仿宋_GB2312" w:hAnsi="Times New Roman" w:cs="Times New Roman"/>
                <w:color w:val="000000"/>
                <w:kern w:val="0"/>
                <w:sz w:val="21"/>
                <w:szCs w:val="21"/>
              </w:rPr>
              <w:t>资金使用合规性</w:t>
            </w:r>
          </w:p>
        </w:tc>
        <w:tc>
          <w:tcPr>
            <w:tcW w:w="266" w:type="pct"/>
            <w:tcBorders>
              <w:top w:val="single" w:color="auto" w:sz="4" w:space="0"/>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仿宋_GB2312" w:hAnsi="Times New Roman" w:cs="Times New Roman"/>
                <w:color w:val="000000"/>
                <w:kern w:val="0"/>
                <w:sz w:val="21"/>
                <w:szCs w:val="21"/>
              </w:rPr>
            </w:pPr>
            <w:r>
              <w:rPr>
                <w:rFonts w:ascii="仿宋_GB2312" w:hAnsi="Times New Roman" w:cs="Times New Roman"/>
                <w:color w:val="000000"/>
                <w:kern w:val="0"/>
                <w:sz w:val="21"/>
                <w:szCs w:val="21"/>
              </w:rPr>
              <w:t>4</w:t>
            </w:r>
          </w:p>
        </w:tc>
        <w:tc>
          <w:tcPr>
            <w:tcW w:w="861" w:type="pct"/>
            <w:tcBorders>
              <w:top w:val="single" w:color="auto" w:sz="4" w:space="0"/>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仿宋_GB2312" w:hAnsi="Times New Roman" w:cs="Times New Roman"/>
                <w:color w:val="000000"/>
                <w:kern w:val="0"/>
                <w:sz w:val="21"/>
                <w:szCs w:val="21"/>
              </w:rPr>
            </w:pPr>
            <w:r>
              <w:rPr>
                <w:rFonts w:hint="eastAsia" w:ascii="仿宋_GB2312" w:hAnsi="Times New Roman" w:cs="Times New Roman"/>
                <w:color w:val="000000"/>
                <w:kern w:val="0"/>
                <w:sz w:val="21"/>
                <w:szCs w:val="21"/>
              </w:rPr>
              <w:t>项目资金使用是否符合相关的财务管理制度规定，用以反映和考核项目资金的规范运行情况。</w:t>
            </w:r>
          </w:p>
        </w:tc>
        <w:tc>
          <w:tcPr>
            <w:tcW w:w="1746" w:type="pct"/>
            <w:tcBorders>
              <w:top w:val="single" w:color="auto" w:sz="4" w:space="0"/>
              <w:left w:val="nil"/>
              <w:bottom w:val="single" w:color="auto" w:sz="4" w:space="0"/>
              <w:right w:val="single" w:color="auto" w:sz="4" w:space="0"/>
            </w:tcBorders>
            <w:shd w:val="clear" w:color="auto" w:fill="auto"/>
            <w:vAlign w:val="center"/>
          </w:tcPr>
          <w:p>
            <w:pPr>
              <w:widowControl/>
              <w:spacing w:line="240" w:lineRule="auto"/>
              <w:ind w:firstLine="0" w:firstLineChars="0"/>
              <w:rPr>
                <w:rFonts w:ascii="仿宋_GB2312" w:hAnsi="Times New Roman" w:cs="Times New Roman"/>
                <w:color w:val="000000"/>
                <w:kern w:val="0"/>
                <w:sz w:val="21"/>
                <w:szCs w:val="21"/>
              </w:rPr>
            </w:pPr>
            <w:r>
              <w:rPr>
                <w:rFonts w:hint="eastAsia" w:ascii="仿宋_GB2312" w:hAnsi="Times New Roman" w:cs="Times New Roman"/>
                <w:color w:val="000000"/>
                <w:kern w:val="0"/>
                <w:sz w:val="21"/>
                <w:szCs w:val="21"/>
              </w:rPr>
              <w:t>①项目符合国家财经法规和财务管理制度以及有关专项资金管理规程的规定，得1分。</w:t>
            </w:r>
            <w:r>
              <w:rPr>
                <w:rFonts w:ascii="仿宋_GB2312" w:hAnsi="Times New Roman" w:cs="Times New Roman"/>
                <w:color w:val="000000"/>
                <w:kern w:val="0"/>
                <w:sz w:val="21"/>
                <w:szCs w:val="21"/>
              </w:rPr>
              <w:br w:type="textWrapping"/>
            </w:r>
            <w:r>
              <w:rPr>
                <w:rFonts w:hint="eastAsia" w:ascii="仿宋_GB2312" w:hAnsi="Times New Roman" w:cs="Times New Roman"/>
                <w:color w:val="000000"/>
                <w:kern w:val="0"/>
                <w:sz w:val="21"/>
                <w:szCs w:val="21"/>
              </w:rPr>
              <w:t>②资金的拨付有完整的审批程序和手续，得1分。</w:t>
            </w:r>
            <w:r>
              <w:rPr>
                <w:rFonts w:ascii="仿宋_GB2312" w:hAnsi="Times New Roman" w:cs="Times New Roman"/>
                <w:color w:val="000000"/>
                <w:kern w:val="0"/>
                <w:sz w:val="21"/>
                <w:szCs w:val="21"/>
              </w:rPr>
              <w:br w:type="textWrapping"/>
            </w:r>
            <w:r>
              <w:rPr>
                <w:rFonts w:hint="eastAsia" w:ascii="仿宋_GB2312" w:hAnsi="Times New Roman" w:cs="Times New Roman"/>
                <w:color w:val="000000"/>
                <w:kern w:val="0"/>
                <w:sz w:val="21"/>
                <w:szCs w:val="21"/>
              </w:rPr>
              <w:t>③资金使用符合项目预算批复或合同规定的用途，得1分</w:t>
            </w:r>
            <w:r>
              <w:rPr>
                <w:rFonts w:ascii="仿宋_GB2312" w:hAnsi="Times New Roman" w:cs="Times New Roman"/>
                <w:color w:val="000000"/>
                <w:kern w:val="0"/>
                <w:sz w:val="21"/>
                <w:szCs w:val="21"/>
              </w:rPr>
              <w:t xml:space="preserve"> </w:t>
            </w:r>
            <w:r>
              <w:rPr>
                <w:rFonts w:hint="eastAsia" w:ascii="仿宋_GB2312" w:hAnsi="Times New Roman" w:cs="Times New Roman"/>
                <w:color w:val="000000"/>
                <w:kern w:val="0"/>
                <w:sz w:val="21"/>
                <w:szCs w:val="21"/>
              </w:rPr>
              <w:t>。</w:t>
            </w:r>
            <w:r>
              <w:rPr>
                <w:rFonts w:ascii="仿宋_GB2312" w:hAnsi="Times New Roman" w:cs="Times New Roman"/>
                <w:color w:val="000000"/>
                <w:kern w:val="0"/>
                <w:sz w:val="21"/>
                <w:szCs w:val="21"/>
              </w:rPr>
              <w:br w:type="textWrapping"/>
            </w:r>
            <w:r>
              <w:rPr>
                <w:rFonts w:hint="eastAsia" w:ascii="仿宋_GB2312" w:hAnsi="Times New Roman" w:cs="Times New Roman"/>
                <w:color w:val="000000"/>
                <w:kern w:val="0"/>
                <w:sz w:val="21"/>
                <w:szCs w:val="21"/>
              </w:rPr>
              <w:t>④资金未存在截留、挤占、挪用、虚列支出等情况，得1分。</w:t>
            </w:r>
          </w:p>
        </w:tc>
        <w:tc>
          <w:tcPr>
            <w:tcW w:w="303" w:type="pct"/>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Times New Roman" w:cs="Times New Roman"/>
                <w:color w:val="000000"/>
                <w:kern w:val="0"/>
                <w:sz w:val="21"/>
                <w:szCs w:val="21"/>
              </w:rPr>
            </w:pPr>
            <w:r>
              <w:rPr>
                <w:rFonts w:ascii="仿宋_GB2312" w:hAnsi="Times New Roman" w:cs="Times New Roman"/>
                <w:color w:val="000000"/>
                <w:kern w:val="0"/>
                <w:sz w:val="21"/>
                <w:szCs w:val="21"/>
              </w:rPr>
              <w:t>4</w:t>
            </w:r>
          </w:p>
        </w:tc>
        <w:tc>
          <w:tcPr>
            <w:tcW w:w="381" w:type="pct"/>
            <w:tcBorders>
              <w:top w:val="single" w:color="auto" w:sz="4" w:space="0"/>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仿宋_GB2312" w:hAnsi="Times New Roman" w:cs="Times New Roman"/>
                <w:color w:val="000000"/>
                <w:kern w:val="0"/>
                <w:sz w:val="21"/>
                <w:szCs w:val="21"/>
              </w:rPr>
            </w:pPr>
          </w:p>
        </w:tc>
      </w:tr>
      <w:tr>
        <w:tblPrEx>
          <w:tblCellMar>
            <w:top w:w="0" w:type="dxa"/>
            <w:left w:w="108" w:type="dxa"/>
            <w:bottom w:w="0" w:type="dxa"/>
            <w:right w:w="108" w:type="dxa"/>
          </w:tblCellMar>
        </w:tblPrEx>
        <w:trPr>
          <w:trHeight w:val="1240" w:hRule="atLeast"/>
        </w:trPr>
        <w:tc>
          <w:tcPr>
            <w:tcW w:w="250"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left"/>
              <w:rPr>
                <w:rFonts w:ascii="仿宋_GB2312" w:hAnsi="Times New Roman" w:cs="Times New Roman"/>
                <w:color w:val="000000"/>
                <w:kern w:val="0"/>
                <w:sz w:val="21"/>
                <w:szCs w:val="21"/>
              </w:rPr>
            </w:pPr>
          </w:p>
        </w:tc>
        <w:tc>
          <w:tcPr>
            <w:tcW w:w="250"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left"/>
              <w:rPr>
                <w:rFonts w:ascii="仿宋_GB2312" w:hAnsi="Times New Roman" w:cs="Times New Roman"/>
                <w:color w:val="000000"/>
                <w:kern w:val="0"/>
                <w:sz w:val="21"/>
                <w:szCs w:val="21"/>
              </w:rPr>
            </w:pPr>
          </w:p>
        </w:tc>
        <w:tc>
          <w:tcPr>
            <w:tcW w:w="250"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仿宋_GB2312" w:hAnsi="Times New Roman" w:cs="Times New Roman"/>
                <w:color w:val="000000"/>
                <w:kern w:val="0"/>
                <w:sz w:val="21"/>
                <w:szCs w:val="21"/>
              </w:rPr>
            </w:pPr>
            <w:r>
              <w:rPr>
                <w:rFonts w:hint="eastAsia" w:ascii="仿宋_GB2312" w:hAnsi="Times New Roman" w:cs="Times New Roman"/>
                <w:color w:val="000000"/>
                <w:kern w:val="0"/>
                <w:sz w:val="21"/>
                <w:szCs w:val="21"/>
              </w:rPr>
              <w:t>组织实施</w:t>
            </w:r>
          </w:p>
        </w:tc>
        <w:tc>
          <w:tcPr>
            <w:tcW w:w="250"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仿宋_GB2312" w:hAnsi="Times New Roman" w:cs="Times New Roman"/>
                <w:color w:val="000000"/>
                <w:kern w:val="0"/>
                <w:sz w:val="21"/>
                <w:szCs w:val="21"/>
              </w:rPr>
            </w:pPr>
            <w:r>
              <w:rPr>
                <w:rFonts w:ascii="仿宋_GB2312" w:hAnsi="Times New Roman" w:cs="Times New Roman"/>
                <w:color w:val="000000"/>
                <w:kern w:val="0"/>
                <w:sz w:val="21"/>
                <w:szCs w:val="21"/>
              </w:rPr>
              <w:t>8</w:t>
            </w:r>
          </w:p>
        </w:tc>
        <w:tc>
          <w:tcPr>
            <w:tcW w:w="443" w:type="pct"/>
            <w:tcBorders>
              <w:top w:val="single" w:color="auto" w:sz="4" w:space="0"/>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仿宋_GB2312" w:hAnsi="Times New Roman" w:cs="Times New Roman"/>
                <w:color w:val="000000"/>
                <w:kern w:val="0"/>
                <w:sz w:val="21"/>
                <w:szCs w:val="21"/>
              </w:rPr>
            </w:pPr>
            <w:r>
              <w:rPr>
                <w:rFonts w:hint="eastAsia" w:ascii="仿宋_GB2312" w:hAnsi="Times New Roman" w:cs="Times New Roman"/>
                <w:color w:val="000000"/>
                <w:kern w:val="0"/>
                <w:sz w:val="21"/>
                <w:szCs w:val="21"/>
              </w:rPr>
              <w:t>管理制度健全性</w:t>
            </w:r>
          </w:p>
        </w:tc>
        <w:tc>
          <w:tcPr>
            <w:tcW w:w="266" w:type="pct"/>
            <w:tcBorders>
              <w:top w:val="single" w:color="auto" w:sz="4" w:space="0"/>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仿宋_GB2312" w:hAnsi="Times New Roman" w:cs="Times New Roman"/>
                <w:color w:val="000000"/>
                <w:kern w:val="0"/>
                <w:sz w:val="21"/>
                <w:szCs w:val="21"/>
              </w:rPr>
            </w:pPr>
            <w:r>
              <w:rPr>
                <w:rFonts w:ascii="仿宋_GB2312" w:hAnsi="Times New Roman" w:cs="Times New Roman"/>
                <w:color w:val="000000"/>
                <w:kern w:val="0"/>
                <w:sz w:val="21"/>
                <w:szCs w:val="21"/>
              </w:rPr>
              <w:t>2</w:t>
            </w:r>
          </w:p>
        </w:tc>
        <w:tc>
          <w:tcPr>
            <w:tcW w:w="861" w:type="pct"/>
            <w:tcBorders>
              <w:top w:val="single" w:color="auto" w:sz="4" w:space="0"/>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仿宋_GB2312" w:hAnsi="Times New Roman" w:cs="Times New Roman"/>
                <w:color w:val="000000"/>
                <w:kern w:val="0"/>
                <w:sz w:val="21"/>
                <w:szCs w:val="21"/>
              </w:rPr>
            </w:pPr>
            <w:r>
              <w:rPr>
                <w:rFonts w:hint="eastAsia" w:ascii="仿宋_GB2312" w:hAnsi="Times New Roman" w:cs="Times New Roman"/>
                <w:color w:val="000000"/>
                <w:kern w:val="0"/>
                <w:sz w:val="21"/>
                <w:szCs w:val="21"/>
              </w:rPr>
              <w:t>项目实施单位的财务和业务管理制度是否健全，用以反映和考核财务和业务管理制度对项目顺利实施的保障情况。</w:t>
            </w:r>
          </w:p>
        </w:tc>
        <w:tc>
          <w:tcPr>
            <w:tcW w:w="1746" w:type="pct"/>
            <w:tcBorders>
              <w:top w:val="single" w:color="auto" w:sz="4" w:space="0"/>
              <w:left w:val="nil"/>
              <w:bottom w:val="single" w:color="auto" w:sz="4" w:space="0"/>
              <w:right w:val="single" w:color="auto" w:sz="4" w:space="0"/>
            </w:tcBorders>
            <w:shd w:val="clear" w:color="auto" w:fill="auto"/>
            <w:vAlign w:val="center"/>
          </w:tcPr>
          <w:p>
            <w:pPr>
              <w:widowControl/>
              <w:spacing w:line="240" w:lineRule="auto"/>
              <w:ind w:firstLine="0" w:firstLineChars="0"/>
              <w:rPr>
                <w:rFonts w:ascii="仿宋_GB2312" w:hAnsi="Times New Roman" w:cs="Times New Roman"/>
                <w:color w:val="000000"/>
                <w:kern w:val="0"/>
                <w:sz w:val="21"/>
                <w:szCs w:val="21"/>
              </w:rPr>
            </w:pPr>
            <w:r>
              <w:rPr>
                <w:rFonts w:hint="eastAsia" w:ascii="仿宋_GB2312" w:hAnsi="Times New Roman" w:cs="Times New Roman"/>
                <w:color w:val="000000"/>
                <w:kern w:val="0"/>
                <w:sz w:val="21"/>
                <w:szCs w:val="21"/>
              </w:rPr>
              <w:t>①单位内部已制定或具有相应的财务和业务管理制度，得1分。</w:t>
            </w:r>
            <w:r>
              <w:rPr>
                <w:rFonts w:ascii="仿宋_GB2312" w:hAnsi="Times New Roman" w:cs="Times New Roman"/>
                <w:color w:val="000000"/>
                <w:kern w:val="0"/>
                <w:sz w:val="21"/>
                <w:szCs w:val="21"/>
              </w:rPr>
              <w:br w:type="textWrapping"/>
            </w:r>
            <w:r>
              <w:rPr>
                <w:rFonts w:hint="eastAsia" w:ascii="仿宋_GB2312" w:hAnsi="Times New Roman" w:cs="Times New Roman"/>
                <w:color w:val="000000"/>
                <w:kern w:val="0"/>
                <w:sz w:val="21"/>
                <w:szCs w:val="21"/>
              </w:rPr>
              <w:t>②单位内部财务和业务管理制度合法、合规、完整，得1分。</w:t>
            </w:r>
          </w:p>
        </w:tc>
        <w:tc>
          <w:tcPr>
            <w:tcW w:w="303" w:type="pct"/>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Times New Roman" w:cs="Times New Roman"/>
                <w:color w:val="000000"/>
                <w:kern w:val="0"/>
                <w:sz w:val="21"/>
                <w:szCs w:val="21"/>
              </w:rPr>
            </w:pPr>
            <w:r>
              <w:rPr>
                <w:rFonts w:ascii="仿宋_GB2312" w:hAnsi="Times New Roman" w:cs="Times New Roman"/>
                <w:color w:val="000000"/>
                <w:kern w:val="0"/>
                <w:sz w:val="21"/>
                <w:szCs w:val="21"/>
              </w:rPr>
              <w:t>2</w:t>
            </w:r>
          </w:p>
        </w:tc>
        <w:tc>
          <w:tcPr>
            <w:tcW w:w="381" w:type="pct"/>
            <w:tcBorders>
              <w:top w:val="single" w:color="auto" w:sz="4" w:space="0"/>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仿宋_GB2312" w:hAnsi="Times New Roman" w:cs="Times New Roman"/>
                <w:color w:val="000000"/>
                <w:kern w:val="0"/>
                <w:sz w:val="21"/>
                <w:szCs w:val="21"/>
              </w:rPr>
            </w:pPr>
            <w:r>
              <w:rPr>
                <w:rFonts w:hint="eastAsia" w:ascii="仿宋_GB2312" w:hAnsi="Times New Roman" w:cs="Times New Roman"/>
                <w:color w:val="000000"/>
                <w:kern w:val="0"/>
                <w:sz w:val="21"/>
                <w:szCs w:val="21"/>
              </w:rPr>
              <w:t>　</w:t>
            </w:r>
          </w:p>
        </w:tc>
      </w:tr>
      <w:tr>
        <w:tblPrEx>
          <w:tblCellMar>
            <w:top w:w="0" w:type="dxa"/>
            <w:left w:w="108" w:type="dxa"/>
            <w:bottom w:w="0" w:type="dxa"/>
            <w:right w:w="108" w:type="dxa"/>
          </w:tblCellMar>
        </w:tblPrEx>
        <w:trPr>
          <w:trHeight w:val="1240" w:hRule="atLeast"/>
        </w:trPr>
        <w:tc>
          <w:tcPr>
            <w:tcW w:w="250"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left"/>
              <w:rPr>
                <w:rFonts w:ascii="仿宋_GB2312" w:hAnsi="Times New Roman" w:cs="Times New Roman"/>
                <w:color w:val="000000"/>
                <w:kern w:val="0"/>
                <w:sz w:val="21"/>
                <w:szCs w:val="21"/>
              </w:rPr>
            </w:pPr>
          </w:p>
        </w:tc>
        <w:tc>
          <w:tcPr>
            <w:tcW w:w="250"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left"/>
              <w:rPr>
                <w:rFonts w:ascii="仿宋_GB2312" w:hAnsi="Times New Roman" w:cs="Times New Roman"/>
                <w:color w:val="000000"/>
                <w:kern w:val="0"/>
                <w:sz w:val="21"/>
                <w:szCs w:val="21"/>
              </w:rPr>
            </w:pPr>
          </w:p>
        </w:tc>
        <w:tc>
          <w:tcPr>
            <w:tcW w:w="250"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left"/>
              <w:rPr>
                <w:rFonts w:ascii="仿宋_GB2312" w:hAnsi="Times New Roman" w:cs="Times New Roman"/>
                <w:color w:val="000000"/>
                <w:kern w:val="0"/>
                <w:sz w:val="21"/>
                <w:szCs w:val="21"/>
              </w:rPr>
            </w:pPr>
          </w:p>
        </w:tc>
        <w:tc>
          <w:tcPr>
            <w:tcW w:w="250"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left"/>
              <w:rPr>
                <w:rFonts w:ascii="仿宋_GB2312" w:hAnsi="Times New Roman" w:cs="Times New Roman"/>
                <w:color w:val="000000"/>
                <w:kern w:val="0"/>
                <w:sz w:val="21"/>
                <w:szCs w:val="21"/>
              </w:rPr>
            </w:pPr>
          </w:p>
        </w:tc>
        <w:tc>
          <w:tcPr>
            <w:tcW w:w="443" w:type="pct"/>
            <w:tcBorders>
              <w:top w:val="single" w:color="auto" w:sz="4" w:space="0"/>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仿宋_GB2312" w:hAnsi="Times New Roman" w:cs="Times New Roman"/>
                <w:color w:val="000000"/>
                <w:kern w:val="0"/>
                <w:sz w:val="21"/>
                <w:szCs w:val="21"/>
              </w:rPr>
            </w:pPr>
            <w:r>
              <w:rPr>
                <w:rFonts w:hint="eastAsia" w:ascii="仿宋_GB2312" w:hAnsi="Times New Roman" w:cs="Times New Roman"/>
                <w:color w:val="000000"/>
                <w:kern w:val="0"/>
                <w:sz w:val="21"/>
                <w:szCs w:val="21"/>
              </w:rPr>
              <w:t>制度执行有效性</w:t>
            </w:r>
          </w:p>
        </w:tc>
        <w:tc>
          <w:tcPr>
            <w:tcW w:w="266" w:type="pct"/>
            <w:tcBorders>
              <w:top w:val="single" w:color="auto" w:sz="4" w:space="0"/>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仿宋_GB2312" w:hAnsi="Times New Roman" w:cs="Times New Roman"/>
                <w:color w:val="000000"/>
                <w:kern w:val="0"/>
                <w:sz w:val="21"/>
                <w:szCs w:val="21"/>
              </w:rPr>
            </w:pPr>
            <w:r>
              <w:rPr>
                <w:rFonts w:ascii="仿宋_GB2312" w:hAnsi="Times New Roman" w:cs="Times New Roman"/>
                <w:color w:val="000000"/>
                <w:kern w:val="0"/>
                <w:sz w:val="21"/>
                <w:szCs w:val="21"/>
              </w:rPr>
              <w:t>4</w:t>
            </w:r>
          </w:p>
        </w:tc>
        <w:tc>
          <w:tcPr>
            <w:tcW w:w="861" w:type="pct"/>
            <w:tcBorders>
              <w:top w:val="single" w:color="auto" w:sz="4" w:space="0"/>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仿宋_GB2312" w:hAnsi="Times New Roman" w:cs="Times New Roman"/>
                <w:color w:val="000000"/>
                <w:kern w:val="0"/>
                <w:sz w:val="21"/>
                <w:szCs w:val="21"/>
              </w:rPr>
            </w:pPr>
            <w:r>
              <w:rPr>
                <w:rFonts w:hint="eastAsia" w:ascii="仿宋_GB2312" w:hAnsi="Times New Roman" w:cs="Times New Roman"/>
                <w:color w:val="000000"/>
                <w:kern w:val="0"/>
                <w:sz w:val="21"/>
                <w:szCs w:val="21"/>
              </w:rPr>
              <w:t>项目实施是否符合相关管理规定，用以反映和考核相关管理制度的有效执行情况。</w:t>
            </w:r>
          </w:p>
        </w:tc>
        <w:tc>
          <w:tcPr>
            <w:tcW w:w="1746" w:type="pct"/>
            <w:tcBorders>
              <w:top w:val="single" w:color="auto" w:sz="4" w:space="0"/>
              <w:left w:val="nil"/>
              <w:bottom w:val="single" w:color="auto" w:sz="4" w:space="0"/>
              <w:right w:val="single" w:color="auto" w:sz="4" w:space="0"/>
            </w:tcBorders>
            <w:shd w:val="clear" w:color="auto" w:fill="auto"/>
            <w:vAlign w:val="center"/>
          </w:tcPr>
          <w:p>
            <w:pPr>
              <w:pStyle w:val="25"/>
              <w:widowControl/>
              <w:numPr>
                <w:ilvl w:val="0"/>
                <w:numId w:val="1"/>
              </w:numPr>
              <w:spacing w:line="240" w:lineRule="auto"/>
              <w:ind w:firstLineChars="0"/>
              <w:jc w:val="left"/>
              <w:rPr>
                <w:rFonts w:ascii="仿宋_GB2312" w:hAnsi="Times New Roman" w:cs="Times New Roman"/>
                <w:color w:val="000000"/>
                <w:kern w:val="0"/>
                <w:sz w:val="21"/>
                <w:szCs w:val="21"/>
              </w:rPr>
            </w:pPr>
            <w:r>
              <w:rPr>
                <w:rFonts w:hint="eastAsia" w:ascii="仿宋_GB2312" w:hAnsi="Times New Roman" w:cs="Times New Roman"/>
                <w:color w:val="000000"/>
                <w:kern w:val="0"/>
                <w:sz w:val="21"/>
                <w:szCs w:val="21"/>
              </w:rPr>
              <w:t>项目执行遵守相关法律法规和相关管理规定，得</w:t>
            </w:r>
            <w:r>
              <w:rPr>
                <w:rFonts w:ascii="仿宋_GB2312" w:hAnsi="Times New Roman" w:cs="Times New Roman"/>
                <w:color w:val="000000"/>
                <w:kern w:val="0"/>
                <w:sz w:val="21"/>
                <w:szCs w:val="21"/>
              </w:rPr>
              <w:t>2</w:t>
            </w:r>
            <w:r>
              <w:rPr>
                <w:rFonts w:hint="eastAsia" w:ascii="仿宋_GB2312" w:hAnsi="Times New Roman" w:cs="Times New Roman"/>
                <w:color w:val="000000"/>
                <w:kern w:val="0"/>
                <w:sz w:val="21"/>
                <w:szCs w:val="21"/>
              </w:rPr>
              <w:t xml:space="preserve">分。 </w:t>
            </w:r>
            <w:r>
              <w:rPr>
                <w:rFonts w:ascii="仿宋_GB2312" w:hAnsi="Times New Roman" w:cs="Times New Roman"/>
                <w:color w:val="000000"/>
                <w:kern w:val="0"/>
                <w:sz w:val="21"/>
                <w:szCs w:val="21"/>
              </w:rPr>
              <w:br w:type="textWrapping"/>
            </w:r>
            <w:r>
              <w:rPr>
                <w:rFonts w:hint="eastAsia" w:ascii="仿宋_GB2312" w:hAnsi="Times New Roman" w:cs="Times New Roman"/>
                <w:color w:val="000000"/>
                <w:kern w:val="0"/>
                <w:sz w:val="21"/>
                <w:szCs w:val="21"/>
              </w:rPr>
              <w:t>②项目调整及支出调整手续完备，得1分。</w:t>
            </w:r>
            <w:r>
              <w:rPr>
                <w:rFonts w:ascii="仿宋_GB2312" w:hAnsi="Times New Roman" w:cs="Times New Roman"/>
                <w:color w:val="000000"/>
                <w:kern w:val="0"/>
                <w:sz w:val="21"/>
                <w:szCs w:val="21"/>
              </w:rPr>
              <w:br w:type="textWrapping"/>
            </w:r>
            <w:r>
              <w:rPr>
                <w:rFonts w:hint="eastAsia" w:ascii="仿宋_GB2312" w:hAnsi="Times New Roman" w:cs="Times New Roman"/>
                <w:color w:val="000000"/>
                <w:kern w:val="0"/>
                <w:sz w:val="21"/>
                <w:szCs w:val="21"/>
              </w:rPr>
              <w:t>③项目实施的人员条件、场地设备、信息支撑等落实到位，得1分。</w:t>
            </w:r>
          </w:p>
        </w:tc>
        <w:tc>
          <w:tcPr>
            <w:tcW w:w="303" w:type="pct"/>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Times New Roman" w:cs="Times New Roman"/>
                <w:color w:val="000000"/>
                <w:kern w:val="0"/>
                <w:sz w:val="21"/>
                <w:szCs w:val="21"/>
              </w:rPr>
            </w:pPr>
            <w:r>
              <w:rPr>
                <w:rFonts w:ascii="仿宋_GB2312" w:hAnsi="Times New Roman" w:cs="Times New Roman"/>
                <w:color w:val="000000"/>
                <w:kern w:val="0"/>
                <w:sz w:val="21"/>
                <w:szCs w:val="21"/>
              </w:rPr>
              <w:t>4</w:t>
            </w:r>
          </w:p>
        </w:tc>
        <w:tc>
          <w:tcPr>
            <w:tcW w:w="381" w:type="pct"/>
            <w:tcBorders>
              <w:top w:val="single" w:color="auto" w:sz="4" w:space="0"/>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仿宋_GB2312" w:hAnsi="Times New Roman" w:cs="Times New Roman"/>
                <w:color w:val="000000"/>
                <w:kern w:val="0"/>
                <w:sz w:val="21"/>
                <w:szCs w:val="21"/>
              </w:rPr>
            </w:pPr>
          </w:p>
        </w:tc>
      </w:tr>
      <w:tr>
        <w:tblPrEx>
          <w:tblCellMar>
            <w:top w:w="0" w:type="dxa"/>
            <w:left w:w="108" w:type="dxa"/>
            <w:bottom w:w="0" w:type="dxa"/>
            <w:right w:w="108" w:type="dxa"/>
          </w:tblCellMar>
        </w:tblPrEx>
        <w:trPr>
          <w:trHeight w:val="1580" w:hRule="atLeast"/>
        </w:trPr>
        <w:tc>
          <w:tcPr>
            <w:tcW w:w="250"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left"/>
              <w:rPr>
                <w:rFonts w:ascii="仿宋_GB2312" w:hAnsi="Times New Roman" w:cs="Times New Roman"/>
                <w:color w:val="000000"/>
                <w:kern w:val="0"/>
                <w:sz w:val="21"/>
                <w:szCs w:val="21"/>
              </w:rPr>
            </w:pPr>
          </w:p>
        </w:tc>
        <w:tc>
          <w:tcPr>
            <w:tcW w:w="250"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left"/>
              <w:rPr>
                <w:rFonts w:ascii="仿宋_GB2312" w:hAnsi="Times New Roman" w:cs="Times New Roman"/>
                <w:color w:val="000000"/>
                <w:kern w:val="0"/>
                <w:sz w:val="21"/>
                <w:szCs w:val="21"/>
              </w:rPr>
            </w:pPr>
          </w:p>
        </w:tc>
        <w:tc>
          <w:tcPr>
            <w:tcW w:w="250"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left"/>
              <w:rPr>
                <w:rFonts w:ascii="仿宋_GB2312" w:hAnsi="Times New Roman" w:cs="Times New Roman"/>
                <w:color w:val="000000"/>
                <w:kern w:val="0"/>
                <w:sz w:val="21"/>
                <w:szCs w:val="21"/>
              </w:rPr>
            </w:pPr>
          </w:p>
        </w:tc>
        <w:tc>
          <w:tcPr>
            <w:tcW w:w="250"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left"/>
              <w:rPr>
                <w:rFonts w:ascii="仿宋_GB2312" w:hAnsi="Times New Roman" w:cs="Times New Roman"/>
                <w:color w:val="000000"/>
                <w:kern w:val="0"/>
                <w:sz w:val="21"/>
                <w:szCs w:val="21"/>
              </w:rPr>
            </w:pPr>
          </w:p>
        </w:tc>
        <w:tc>
          <w:tcPr>
            <w:tcW w:w="443" w:type="pct"/>
            <w:tcBorders>
              <w:top w:val="single" w:color="auto" w:sz="4" w:space="0"/>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仿宋_GB2312" w:hAnsi="Times New Roman" w:cs="Times New Roman"/>
                <w:color w:val="000000"/>
                <w:kern w:val="0"/>
                <w:sz w:val="21"/>
                <w:szCs w:val="21"/>
              </w:rPr>
            </w:pPr>
            <w:r>
              <w:rPr>
                <w:rFonts w:hint="eastAsia" w:ascii="仿宋_GB2312" w:hAnsi="Times New Roman" w:cs="Times New Roman"/>
                <w:color w:val="000000"/>
                <w:kern w:val="0"/>
                <w:sz w:val="21"/>
                <w:szCs w:val="21"/>
              </w:rPr>
              <w:t>档案管理规范性</w:t>
            </w:r>
          </w:p>
        </w:tc>
        <w:tc>
          <w:tcPr>
            <w:tcW w:w="266" w:type="pct"/>
            <w:tcBorders>
              <w:top w:val="single" w:color="auto" w:sz="4" w:space="0"/>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仿宋_GB2312" w:hAnsi="Times New Roman" w:cs="Times New Roman"/>
                <w:color w:val="000000"/>
                <w:kern w:val="0"/>
                <w:sz w:val="21"/>
                <w:szCs w:val="21"/>
              </w:rPr>
            </w:pPr>
            <w:r>
              <w:rPr>
                <w:rFonts w:ascii="仿宋_GB2312" w:hAnsi="Times New Roman" w:cs="Times New Roman"/>
                <w:color w:val="000000"/>
                <w:kern w:val="0"/>
                <w:sz w:val="21"/>
                <w:szCs w:val="21"/>
              </w:rPr>
              <w:t>2</w:t>
            </w:r>
          </w:p>
        </w:tc>
        <w:tc>
          <w:tcPr>
            <w:tcW w:w="861" w:type="pct"/>
            <w:tcBorders>
              <w:top w:val="single" w:color="auto" w:sz="4" w:space="0"/>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仿宋_GB2312" w:hAnsi="Times New Roman" w:cs="Times New Roman"/>
                <w:color w:val="000000"/>
                <w:kern w:val="0"/>
                <w:sz w:val="21"/>
                <w:szCs w:val="21"/>
              </w:rPr>
            </w:pPr>
            <w:r>
              <w:rPr>
                <w:rFonts w:hint="eastAsia" w:ascii="仿宋_GB2312" w:hAnsi="Times New Roman" w:cs="Times New Roman"/>
                <w:color w:val="000000"/>
                <w:kern w:val="0"/>
                <w:sz w:val="21"/>
                <w:szCs w:val="21"/>
              </w:rPr>
              <w:t>考核项目申请阶段、实施阶段、验收阶段的档案管理情况。</w:t>
            </w:r>
          </w:p>
        </w:tc>
        <w:tc>
          <w:tcPr>
            <w:tcW w:w="1746" w:type="pct"/>
            <w:tcBorders>
              <w:top w:val="single" w:color="auto" w:sz="4" w:space="0"/>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仿宋_GB2312" w:hAnsi="Times New Roman" w:cs="Times New Roman"/>
                <w:color w:val="000000"/>
                <w:kern w:val="0"/>
                <w:sz w:val="21"/>
                <w:szCs w:val="21"/>
              </w:rPr>
            </w:pPr>
            <w:r>
              <w:rPr>
                <w:rFonts w:hint="eastAsia" w:ascii="仿宋_GB2312" w:hAnsi="Times New Roman" w:cs="Times New Roman"/>
                <w:color w:val="000000"/>
                <w:kern w:val="0"/>
                <w:sz w:val="21"/>
                <w:szCs w:val="21"/>
              </w:rPr>
              <w:t>项目档案妥善归档（包括但不仅限于事前请示、领导班子会议纪要、项目测算文件、法律意见书、合同、验收单、履约评价表等），得2分。缺少1类过程文件，扣0.5分。</w:t>
            </w:r>
          </w:p>
        </w:tc>
        <w:tc>
          <w:tcPr>
            <w:tcW w:w="303" w:type="pct"/>
            <w:tcBorders>
              <w:top w:val="single" w:color="auto" w:sz="4" w:space="0"/>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仿宋_GB2312" w:hAnsi="Times New Roman" w:cs="Times New Roman"/>
                <w:color w:val="000000"/>
                <w:kern w:val="0"/>
                <w:sz w:val="21"/>
                <w:szCs w:val="21"/>
              </w:rPr>
            </w:pPr>
            <w:r>
              <w:rPr>
                <w:rFonts w:ascii="仿宋_GB2312" w:hAnsi="Times New Roman" w:cs="Times New Roman"/>
                <w:color w:val="000000"/>
                <w:kern w:val="0"/>
                <w:sz w:val="21"/>
                <w:szCs w:val="21"/>
              </w:rPr>
              <w:t>1.5</w:t>
            </w:r>
          </w:p>
        </w:tc>
        <w:tc>
          <w:tcPr>
            <w:tcW w:w="381" w:type="pct"/>
            <w:tcBorders>
              <w:top w:val="single" w:color="auto" w:sz="4" w:space="0"/>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仿宋_GB2312" w:hAnsi="Times New Roman" w:cs="Times New Roman"/>
                <w:color w:val="000000"/>
                <w:kern w:val="0"/>
                <w:sz w:val="21"/>
                <w:szCs w:val="21"/>
              </w:rPr>
            </w:pPr>
          </w:p>
        </w:tc>
      </w:tr>
      <w:tr>
        <w:tblPrEx>
          <w:tblCellMar>
            <w:top w:w="0" w:type="dxa"/>
            <w:left w:w="108" w:type="dxa"/>
            <w:bottom w:w="0" w:type="dxa"/>
            <w:right w:w="108" w:type="dxa"/>
          </w:tblCellMar>
        </w:tblPrEx>
        <w:trPr>
          <w:trHeight w:val="1360" w:hRule="atLeast"/>
        </w:trPr>
        <w:tc>
          <w:tcPr>
            <w:tcW w:w="250"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仿宋_GB2312" w:hAnsi="Times New Roman" w:cs="Times New Roman"/>
                <w:color w:val="000000"/>
                <w:kern w:val="0"/>
                <w:sz w:val="21"/>
                <w:szCs w:val="21"/>
              </w:rPr>
            </w:pPr>
            <w:r>
              <w:rPr>
                <w:rFonts w:hint="eastAsia" w:ascii="仿宋_GB2312" w:hAnsi="Times New Roman" w:cs="Times New Roman"/>
                <w:color w:val="000000"/>
                <w:kern w:val="0"/>
                <w:sz w:val="21"/>
                <w:szCs w:val="21"/>
              </w:rPr>
              <w:t>产出</w:t>
            </w:r>
          </w:p>
        </w:tc>
        <w:tc>
          <w:tcPr>
            <w:tcW w:w="250"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仿宋_GB2312" w:hAnsi="Times New Roman" w:cs="Times New Roman"/>
                <w:color w:val="000000"/>
                <w:kern w:val="0"/>
                <w:sz w:val="21"/>
                <w:szCs w:val="21"/>
              </w:rPr>
            </w:pPr>
            <w:r>
              <w:rPr>
                <w:rFonts w:ascii="仿宋_GB2312" w:hAnsi="Times New Roman" w:cs="Times New Roman"/>
                <w:color w:val="000000"/>
                <w:kern w:val="0"/>
                <w:sz w:val="21"/>
                <w:szCs w:val="21"/>
              </w:rPr>
              <w:t>35</w:t>
            </w:r>
          </w:p>
        </w:tc>
        <w:tc>
          <w:tcPr>
            <w:tcW w:w="250"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仿宋_GB2312" w:hAnsi="Times New Roman" w:cs="Times New Roman"/>
                <w:color w:val="000000"/>
                <w:kern w:val="0"/>
                <w:sz w:val="21"/>
                <w:szCs w:val="21"/>
              </w:rPr>
            </w:pPr>
            <w:r>
              <w:rPr>
                <w:rFonts w:hint="eastAsia" w:ascii="仿宋_GB2312" w:hAnsi="Times New Roman" w:cs="Times New Roman"/>
                <w:color w:val="000000"/>
                <w:kern w:val="0"/>
                <w:sz w:val="21"/>
                <w:szCs w:val="21"/>
              </w:rPr>
              <w:t>产出数量</w:t>
            </w:r>
          </w:p>
        </w:tc>
        <w:tc>
          <w:tcPr>
            <w:tcW w:w="250"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仿宋_GB2312" w:hAnsi="Times New Roman" w:cs="Times New Roman"/>
                <w:color w:val="000000"/>
                <w:kern w:val="0"/>
                <w:sz w:val="21"/>
                <w:szCs w:val="21"/>
              </w:rPr>
            </w:pPr>
            <w:r>
              <w:rPr>
                <w:rFonts w:ascii="仿宋_GB2312" w:hAnsi="Times New Roman" w:cs="Times New Roman"/>
                <w:color w:val="000000"/>
                <w:kern w:val="0"/>
                <w:sz w:val="21"/>
                <w:szCs w:val="21"/>
              </w:rPr>
              <w:t>12</w:t>
            </w:r>
          </w:p>
        </w:tc>
        <w:tc>
          <w:tcPr>
            <w:tcW w:w="443" w:type="pct"/>
            <w:tcBorders>
              <w:top w:val="single" w:color="auto" w:sz="4" w:space="0"/>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仿宋_GB2312" w:hAnsi="Times New Roman" w:cs="Times New Roman"/>
                <w:color w:val="000000"/>
                <w:kern w:val="0"/>
                <w:sz w:val="21"/>
                <w:szCs w:val="21"/>
              </w:rPr>
            </w:pPr>
            <w:r>
              <w:rPr>
                <w:rFonts w:hint="eastAsia" w:ascii="仿宋_GB2312" w:hAnsi="Times New Roman" w:cs="Times New Roman"/>
                <w:color w:val="000000"/>
                <w:kern w:val="0"/>
                <w:sz w:val="21"/>
                <w:szCs w:val="21"/>
              </w:rPr>
              <w:t>系统维护数量</w:t>
            </w:r>
          </w:p>
        </w:tc>
        <w:tc>
          <w:tcPr>
            <w:tcW w:w="266" w:type="pct"/>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Times New Roman" w:cs="Times New Roman"/>
                <w:color w:val="000000"/>
                <w:kern w:val="0"/>
                <w:sz w:val="21"/>
                <w:szCs w:val="21"/>
              </w:rPr>
            </w:pPr>
            <w:r>
              <w:rPr>
                <w:rFonts w:ascii="仿宋_GB2312" w:hAnsi="Times New Roman" w:cs="Times New Roman"/>
                <w:color w:val="000000"/>
                <w:kern w:val="0"/>
                <w:sz w:val="21"/>
                <w:szCs w:val="21"/>
              </w:rPr>
              <w:t>4</w:t>
            </w:r>
          </w:p>
        </w:tc>
        <w:tc>
          <w:tcPr>
            <w:tcW w:w="861" w:type="pct"/>
            <w:tcBorders>
              <w:top w:val="single" w:color="auto" w:sz="4" w:space="0"/>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仿宋_GB2312" w:hAnsi="Times New Roman" w:cs="Times New Roman"/>
                <w:color w:val="000000"/>
                <w:kern w:val="0"/>
                <w:sz w:val="21"/>
                <w:szCs w:val="21"/>
              </w:rPr>
            </w:pPr>
            <w:r>
              <w:rPr>
                <w:rFonts w:hint="eastAsia" w:ascii="仿宋_GB2312" w:hAnsi="Times New Roman" w:cs="Times New Roman"/>
                <w:color w:val="000000"/>
                <w:kern w:val="0"/>
                <w:sz w:val="21"/>
                <w:szCs w:val="21"/>
              </w:rPr>
              <w:t>考核维护系统数量目标的实现程度。</w:t>
            </w:r>
          </w:p>
        </w:tc>
        <w:tc>
          <w:tcPr>
            <w:tcW w:w="1746" w:type="pct"/>
            <w:tcBorders>
              <w:top w:val="single" w:color="auto" w:sz="4" w:space="0"/>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仿宋_GB2312" w:hAnsi="Times New Roman" w:cs="Times New Roman"/>
                <w:color w:val="000000"/>
                <w:kern w:val="0"/>
                <w:sz w:val="21"/>
                <w:szCs w:val="21"/>
              </w:rPr>
            </w:pPr>
            <w:r>
              <w:rPr>
                <w:rFonts w:hint="eastAsia" w:ascii="仿宋_GB2312" w:hAnsi="Times New Roman" w:cs="Times New Roman"/>
                <w:color w:val="000000"/>
                <w:kern w:val="0"/>
                <w:sz w:val="21"/>
                <w:szCs w:val="21"/>
              </w:rPr>
              <w:t>①维护系统数量达2个，得4分。</w:t>
            </w:r>
            <w:r>
              <w:rPr>
                <w:rFonts w:ascii="仿宋_GB2312" w:hAnsi="Times New Roman" w:cs="Times New Roman"/>
                <w:color w:val="000000"/>
                <w:kern w:val="0"/>
                <w:sz w:val="21"/>
                <w:szCs w:val="21"/>
              </w:rPr>
              <w:br w:type="textWrapping"/>
            </w:r>
            <w:r>
              <w:rPr>
                <w:rFonts w:hint="eastAsia" w:ascii="仿宋_GB2312" w:hAnsi="Times New Roman" w:cs="Times New Roman"/>
                <w:color w:val="000000"/>
                <w:kern w:val="0"/>
                <w:sz w:val="21"/>
                <w:szCs w:val="21"/>
              </w:rPr>
              <w:t>②维护系统数量不足2个，得0分。</w:t>
            </w:r>
          </w:p>
        </w:tc>
        <w:tc>
          <w:tcPr>
            <w:tcW w:w="303" w:type="pct"/>
            <w:tcBorders>
              <w:top w:val="single" w:color="auto" w:sz="4" w:space="0"/>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仿宋_GB2312" w:hAnsi="Times New Roman" w:cs="Times New Roman"/>
                <w:color w:val="000000"/>
                <w:kern w:val="0"/>
                <w:sz w:val="21"/>
                <w:szCs w:val="21"/>
              </w:rPr>
            </w:pPr>
            <w:r>
              <w:rPr>
                <w:rFonts w:ascii="仿宋_GB2312" w:hAnsi="Times New Roman" w:cs="Times New Roman"/>
                <w:color w:val="000000"/>
                <w:kern w:val="0"/>
                <w:sz w:val="21"/>
                <w:szCs w:val="21"/>
              </w:rPr>
              <w:t>4</w:t>
            </w:r>
          </w:p>
        </w:tc>
        <w:tc>
          <w:tcPr>
            <w:tcW w:w="381" w:type="pct"/>
            <w:tcBorders>
              <w:top w:val="single" w:color="auto" w:sz="4" w:space="0"/>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仿宋_GB2312" w:hAnsi="Times New Roman" w:cs="Times New Roman"/>
                <w:color w:val="000000"/>
                <w:kern w:val="0"/>
                <w:sz w:val="21"/>
                <w:szCs w:val="21"/>
              </w:rPr>
            </w:pPr>
            <w:r>
              <w:rPr>
                <w:rFonts w:hint="eastAsia" w:ascii="仿宋_GB2312" w:hAnsi="Times New Roman" w:cs="Times New Roman"/>
                <w:color w:val="000000"/>
                <w:kern w:val="0"/>
                <w:sz w:val="21"/>
                <w:szCs w:val="21"/>
              </w:rPr>
              <w:t>　</w:t>
            </w:r>
          </w:p>
        </w:tc>
      </w:tr>
      <w:tr>
        <w:tblPrEx>
          <w:tblCellMar>
            <w:top w:w="0" w:type="dxa"/>
            <w:left w:w="108" w:type="dxa"/>
            <w:bottom w:w="0" w:type="dxa"/>
            <w:right w:w="108" w:type="dxa"/>
          </w:tblCellMar>
        </w:tblPrEx>
        <w:trPr>
          <w:trHeight w:val="1200" w:hRule="atLeast"/>
        </w:trPr>
        <w:tc>
          <w:tcPr>
            <w:tcW w:w="250"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center"/>
              <w:rPr>
                <w:rFonts w:ascii="仿宋_GB2312" w:hAnsi="Times New Roman" w:cs="Times New Roman"/>
                <w:color w:val="000000"/>
                <w:kern w:val="0"/>
                <w:sz w:val="21"/>
                <w:szCs w:val="21"/>
              </w:rPr>
            </w:pPr>
          </w:p>
        </w:tc>
        <w:tc>
          <w:tcPr>
            <w:tcW w:w="250"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center"/>
              <w:rPr>
                <w:rFonts w:ascii="仿宋_GB2312" w:hAnsi="Times New Roman" w:cs="Times New Roman"/>
                <w:color w:val="000000"/>
                <w:kern w:val="0"/>
                <w:sz w:val="21"/>
                <w:szCs w:val="21"/>
              </w:rPr>
            </w:pPr>
          </w:p>
        </w:tc>
        <w:tc>
          <w:tcPr>
            <w:tcW w:w="250"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center"/>
              <w:rPr>
                <w:rFonts w:ascii="仿宋_GB2312" w:hAnsi="Times New Roman" w:cs="Times New Roman"/>
                <w:color w:val="000000"/>
                <w:kern w:val="0"/>
                <w:sz w:val="21"/>
                <w:szCs w:val="21"/>
              </w:rPr>
            </w:pPr>
          </w:p>
        </w:tc>
        <w:tc>
          <w:tcPr>
            <w:tcW w:w="250"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center"/>
              <w:rPr>
                <w:rFonts w:ascii="仿宋_GB2312" w:hAnsi="Times New Roman" w:cs="Times New Roman"/>
                <w:color w:val="000000"/>
                <w:kern w:val="0"/>
                <w:sz w:val="21"/>
                <w:szCs w:val="21"/>
              </w:rPr>
            </w:pPr>
          </w:p>
        </w:tc>
        <w:tc>
          <w:tcPr>
            <w:tcW w:w="443" w:type="pct"/>
            <w:tcBorders>
              <w:top w:val="single" w:color="auto" w:sz="4" w:space="0"/>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仿宋_GB2312" w:hAnsi="Times New Roman" w:cs="Times New Roman"/>
                <w:color w:val="000000"/>
                <w:kern w:val="0"/>
                <w:sz w:val="21"/>
                <w:szCs w:val="21"/>
              </w:rPr>
            </w:pPr>
            <w:r>
              <w:rPr>
                <w:rFonts w:hint="eastAsia" w:ascii="仿宋_GB2312" w:hAnsi="Times New Roman" w:cs="Times New Roman"/>
                <w:color w:val="000000"/>
                <w:kern w:val="0"/>
                <w:sz w:val="21"/>
                <w:szCs w:val="21"/>
              </w:rPr>
              <w:t>系统升级新增功能数</w:t>
            </w:r>
          </w:p>
        </w:tc>
        <w:tc>
          <w:tcPr>
            <w:tcW w:w="266" w:type="pct"/>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Times New Roman" w:cs="Times New Roman"/>
                <w:color w:val="000000"/>
                <w:kern w:val="0"/>
                <w:sz w:val="21"/>
                <w:szCs w:val="21"/>
              </w:rPr>
            </w:pPr>
            <w:r>
              <w:rPr>
                <w:rFonts w:ascii="仿宋_GB2312" w:hAnsi="Times New Roman" w:cs="Times New Roman"/>
                <w:color w:val="000000"/>
                <w:kern w:val="0"/>
                <w:sz w:val="21"/>
                <w:szCs w:val="21"/>
              </w:rPr>
              <w:t>6</w:t>
            </w:r>
          </w:p>
        </w:tc>
        <w:tc>
          <w:tcPr>
            <w:tcW w:w="861" w:type="pct"/>
            <w:tcBorders>
              <w:top w:val="single" w:color="auto" w:sz="4" w:space="0"/>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仿宋_GB2312" w:hAnsi="Times New Roman" w:cs="Times New Roman"/>
                <w:color w:val="000000"/>
                <w:kern w:val="0"/>
                <w:sz w:val="21"/>
                <w:szCs w:val="21"/>
              </w:rPr>
            </w:pPr>
            <w:r>
              <w:rPr>
                <w:rFonts w:hint="eastAsia" w:ascii="仿宋_GB2312" w:hAnsi="Times New Roman" w:cs="Times New Roman"/>
                <w:color w:val="000000"/>
                <w:kern w:val="0"/>
                <w:sz w:val="21"/>
                <w:szCs w:val="21"/>
              </w:rPr>
              <w:t>考核系统升级数量目标的实现程度。</w:t>
            </w:r>
          </w:p>
        </w:tc>
        <w:tc>
          <w:tcPr>
            <w:tcW w:w="1746" w:type="pct"/>
            <w:tcBorders>
              <w:top w:val="single" w:color="auto" w:sz="4" w:space="0"/>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仿宋_GB2312" w:hAnsi="Times New Roman" w:cs="Times New Roman"/>
                <w:color w:val="000000"/>
                <w:kern w:val="0"/>
                <w:sz w:val="21"/>
                <w:szCs w:val="21"/>
              </w:rPr>
            </w:pPr>
            <w:r>
              <w:rPr>
                <w:rFonts w:hint="eastAsia" w:ascii="仿宋_GB2312" w:hAnsi="Times New Roman" w:cs="Times New Roman"/>
                <w:color w:val="000000"/>
                <w:kern w:val="0"/>
                <w:sz w:val="21"/>
                <w:szCs w:val="21"/>
              </w:rPr>
              <w:t>①新增区内资产无偿调拨入账提醒功能，得2分。</w:t>
            </w:r>
            <w:r>
              <w:rPr>
                <w:rFonts w:ascii="仿宋_GB2312" w:hAnsi="Times New Roman" w:cs="Times New Roman"/>
                <w:color w:val="000000"/>
                <w:kern w:val="0"/>
                <w:sz w:val="21"/>
                <w:szCs w:val="21"/>
              </w:rPr>
              <w:br w:type="textWrapping"/>
            </w:r>
            <w:r>
              <w:rPr>
                <w:rFonts w:hint="eastAsia" w:ascii="仿宋_GB2312" w:hAnsi="Times New Roman" w:cs="Times New Roman"/>
                <w:color w:val="000000"/>
                <w:kern w:val="0"/>
                <w:sz w:val="21"/>
                <w:szCs w:val="21"/>
              </w:rPr>
              <w:t>②新增报表批量生成功能，得2分。</w:t>
            </w:r>
            <w:r>
              <w:rPr>
                <w:rFonts w:ascii="仿宋_GB2312" w:hAnsi="Times New Roman" w:cs="Times New Roman"/>
                <w:color w:val="000000"/>
                <w:kern w:val="0"/>
                <w:sz w:val="21"/>
                <w:szCs w:val="21"/>
              </w:rPr>
              <w:br w:type="textWrapping"/>
            </w:r>
            <w:r>
              <w:rPr>
                <w:rFonts w:hint="eastAsia" w:ascii="仿宋_GB2312" w:hAnsi="Times New Roman" w:cs="Times New Roman"/>
                <w:color w:val="000000"/>
                <w:kern w:val="0"/>
                <w:sz w:val="21"/>
                <w:szCs w:val="21"/>
              </w:rPr>
              <w:t>③新增凭证审核退单统计关联记账凭证查询功能，得2分。</w:t>
            </w:r>
          </w:p>
        </w:tc>
        <w:tc>
          <w:tcPr>
            <w:tcW w:w="303" w:type="pct"/>
            <w:tcBorders>
              <w:top w:val="single" w:color="auto" w:sz="4" w:space="0"/>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仿宋_GB2312" w:hAnsi="Times New Roman" w:cs="Times New Roman"/>
                <w:color w:val="000000"/>
                <w:kern w:val="0"/>
                <w:sz w:val="21"/>
                <w:szCs w:val="21"/>
              </w:rPr>
            </w:pPr>
            <w:r>
              <w:rPr>
                <w:rFonts w:ascii="仿宋_GB2312" w:hAnsi="Times New Roman" w:cs="Times New Roman"/>
                <w:color w:val="000000"/>
                <w:kern w:val="0"/>
                <w:sz w:val="21"/>
                <w:szCs w:val="21"/>
              </w:rPr>
              <w:t>6</w:t>
            </w:r>
          </w:p>
        </w:tc>
        <w:tc>
          <w:tcPr>
            <w:tcW w:w="381" w:type="pct"/>
            <w:tcBorders>
              <w:top w:val="single" w:color="auto" w:sz="4" w:space="0"/>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仿宋_GB2312" w:hAnsi="Times New Roman" w:cs="Times New Roman"/>
                <w:color w:val="000000"/>
                <w:kern w:val="0"/>
                <w:sz w:val="21"/>
                <w:szCs w:val="21"/>
              </w:rPr>
            </w:pPr>
            <w:r>
              <w:rPr>
                <w:rFonts w:hint="eastAsia" w:ascii="仿宋_GB2312" w:hAnsi="Times New Roman" w:cs="Times New Roman"/>
                <w:color w:val="000000"/>
                <w:kern w:val="0"/>
                <w:sz w:val="21"/>
                <w:szCs w:val="21"/>
              </w:rPr>
              <w:t>　</w:t>
            </w:r>
          </w:p>
        </w:tc>
      </w:tr>
      <w:tr>
        <w:tblPrEx>
          <w:tblCellMar>
            <w:top w:w="0" w:type="dxa"/>
            <w:left w:w="108" w:type="dxa"/>
            <w:bottom w:w="0" w:type="dxa"/>
            <w:right w:w="108" w:type="dxa"/>
          </w:tblCellMar>
        </w:tblPrEx>
        <w:trPr>
          <w:trHeight w:val="1200" w:hRule="atLeast"/>
        </w:trPr>
        <w:tc>
          <w:tcPr>
            <w:tcW w:w="250"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center"/>
              <w:rPr>
                <w:rFonts w:ascii="仿宋_GB2312" w:hAnsi="Times New Roman" w:cs="Times New Roman"/>
                <w:color w:val="000000"/>
                <w:kern w:val="0"/>
                <w:sz w:val="21"/>
                <w:szCs w:val="21"/>
              </w:rPr>
            </w:pPr>
          </w:p>
        </w:tc>
        <w:tc>
          <w:tcPr>
            <w:tcW w:w="250"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center"/>
              <w:rPr>
                <w:rFonts w:ascii="仿宋_GB2312" w:hAnsi="Times New Roman" w:cs="Times New Roman"/>
                <w:color w:val="000000"/>
                <w:kern w:val="0"/>
                <w:sz w:val="21"/>
                <w:szCs w:val="21"/>
              </w:rPr>
            </w:pPr>
          </w:p>
        </w:tc>
        <w:tc>
          <w:tcPr>
            <w:tcW w:w="250"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center"/>
              <w:rPr>
                <w:rFonts w:ascii="仿宋_GB2312" w:hAnsi="Times New Roman" w:cs="Times New Roman"/>
                <w:color w:val="000000"/>
                <w:kern w:val="0"/>
                <w:sz w:val="21"/>
                <w:szCs w:val="21"/>
              </w:rPr>
            </w:pPr>
          </w:p>
        </w:tc>
        <w:tc>
          <w:tcPr>
            <w:tcW w:w="250"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center"/>
              <w:rPr>
                <w:rFonts w:ascii="仿宋_GB2312" w:hAnsi="Times New Roman" w:cs="Times New Roman"/>
                <w:color w:val="000000"/>
                <w:kern w:val="0"/>
                <w:sz w:val="21"/>
                <w:szCs w:val="21"/>
              </w:rPr>
            </w:pPr>
          </w:p>
        </w:tc>
        <w:tc>
          <w:tcPr>
            <w:tcW w:w="443" w:type="pct"/>
            <w:tcBorders>
              <w:top w:val="single" w:color="auto" w:sz="4" w:space="0"/>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仿宋_GB2312" w:hAnsi="Times New Roman" w:cs="Times New Roman"/>
                <w:color w:val="000000"/>
                <w:kern w:val="0"/>
                <w:sz w:val="21"/>
                <w:szCs w:val="21"/>
              </w:rPr>
            </w:pPr>
            <w:r>
              <w:rPr>
                <w:rFonts w:hint="eastAsia" w:ascii="仿宋_GB2312" w:hAnsi="Times New Roman" w:cs="Times New Roman"/>
                <w:color w:val="000000"/>
                <w:kern w:val="0"/>
                <w:sz w:val="21"/>
                <w:szCs w:val="21"/>
              </w:rPr>
              <w:t>系统培训种类数</w:t>
            </w:r>
          </w:p>
        </w:tc>
        <w:tc>
          <w:tcPr>
            <w:tcW w:w="266" w:type="pct"/>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Times New Roman" w:cs="Times New Roman"/>
                <w:color w:val="000000"/>
                <w:kern w:val="0"/>
                <w:sz w:val="21"/>
                <w:szCs w:val="21"/>
              </w:rPr>
            </w:pPr>
            <w:r>
              <w:rPr>
                <w:rFonts w:ascii="仿宋_GB2312" w:hAnsi="Times New Roman" w:cs="Times New Roman"/>
                <w:color w:val="000000"/>
                <w:kern w:val="0"/>
                <w:sz w:val="21"/>
                <w:szCs w:val="21"/>
              </w:rPr>
              <w:t>2</w:t>
            </w:r>
          </w:p>
        </w:tc>
        <w:tc>
          <w:tcPr>
            <w:tcW w:w="861" w:type="pct"/>
            <w:tcBorders>
              <w:top w:val="single" w:color="auto" w:sz="4" w:space="0"/>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仿宋_GB2312" w:hAnsi="Times New Roman" w:cs="Times New Roman"/>
                <w:color w:val="000000"/>
                <w:kern w:val="0"/>
                <w:sz w:val="21"/>
                <w:szCs w:val="21"/>
              </w:rPr>
            </w:pPr>
            <w:r>
              <w:rPr>
                <w:rFonts w:hint="eastAsia" w:ascii="仿宋_GB2312" w:hAnsi="Times New Roman" w:cs="Times New Roman"/>
                <w:color w:val="000000"/>
                <w:kern w:val="0"/>
                <w:sz w:val="21"/>
                <w:szCs w:val="21"/>
              </w:rPr>
              <w:t>考核信息系统培训数量是否达标。</w:t>
            </w:r>
          </w:p>
        </w:tc>
        <w:tc>
          <w:tcPr>
            <w:tcW w:w="1746" w:type="pct"/>
            <w:tcBorders>
              <w:top w:val="single" w:color="auto" w:sz="4" w:space="0"/>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仿宋_GB2312" w:hAnsi="Times New Roman" w:cs="Times New Roman"/>
                <w:color w:val="000000"/>
                <w:kern w:val="0"/>
                <w:sz w:val="21"/>
                <w:szCs w:val="21"/>
              </w:rPr>
            </w:pPr>
            <w:r>
              <w:rPr>
                <w:rFonts w:hint="eastAsia" w:ascii="仿宋_GB2312" w:hAnsi="Times New Roman" w:cs="Times New Roman"/>
                <w:color w:val="000000"/>
                <w:kern w:val="0"/>
                <w:sz w:val="21"/>
                <w:szCs w:val="21"/>
              </w:rPr>
              <w:t>①开展培训种类数达2类，得2分。</w:t>
            </w:r>
            <w:r>
              <w:rPr>
                <w:rFonts w:ascii="仿宋_GB2312" w:hAnsi="Times New Roman" w:cs="Times New Roman"/>
                <w:color w:val="000000"/>
                <w:kern w:val="0"/>
                <w:sz w:val="21"/>
                <w:szCs w:val="21"/>
              </w:rPr>
              <w:br w:type="textWrapping"/>
            </w:r>
            <w:r>
              <w:rPr>
                <w:rFonts w:hint="eastAsia" w:ascii="仿宋_GB2312" w:hAnsi="Times New Roman" w:cs="Times New Roman"/>
                <w:color w:val="000000"/>
                <w:kern w:val="0"/>
                <w:sz w:val="21"/>
                <w:szCs w:val="21"/>
              </w:rPr>
              <w:t>②开展培训种类数不足2类，得0分。</w:t>
            </w:r>
          </w:p>
        </w:tc>
        <w:tc>
          <w:tcPr>
            <w:tcW w:w="303" w:type="pct"/>
            <w:tcBorders>
              <w:top w:val="single" w:color="auto" w:sz="4" w:space="0"/>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仿宋_GB2312" w:hAnsi="Times New Roman" w:cs="Times New Roman"/>
                <w:color w:val="000000"/>
                <w:kern w:val="0"/>
                <w:sz w:val="21"/>
                <w:szCs w:val="21"/>
              </w:rPr>
            </w:pPr>
            <w:r>
              <w:rPr>
                <w:rFonts w:ascii="仿宋_GB2312" w:hAnsi="Times New Roman" w:cs="Times New Roman"/>
                <w:color w:val="000000"/>
                <w:kern w:val="0"/>
                <w:sz w:val="21"/>
                <w:szCs w:val="21"/>
              </w:rPr>
              <w:t>2</w:t>
            </w:r>
          </w:p>
        </w:tc>
        <w:tc>
          <w:tcPr>
            <w:tcW w:w="381" w:type="pct"/>
            <w:tcBorders>
              <w:top w:val="single" w:color="auto" w:sz="4" w:space="0"/>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仿宋_GB2312" w:hAnsi="Times New Roman" w:cs="Times New Roman"/>
                <w:color w:val="000000"/>
                <w:kern w:val="0"/>
                <w:sz w:val="21"/>
                <w:szCs w:val="21"/>
              </w:rPr>
            </w:pPr>
            <w:r>
              <w:rPr>
                <w:rFonts w:hint="eastAsia" w:ascii="仿宋_GB2312" w:hAnsi="Times New Roman" w:cs="Times New Roman"/>
                <w:color w:val="000000"/>
                <w:kern w:val="0"/>
                <w:sz w:val="21"/>
                <w:szCs w:val="21"/>
              </w:rPr>
              <w:t>　</w:t>
            </w:r>
          </w:p>
        </w:tc>
      </w:tr>
      <w:tr>
        <w:tblPrEx>
          <w:tblCellMar>
            <w:top w:w="0" w:type="dxa"/>
            <w:left w:w="108" w:type="dxa"/>
            <w:bottom w:w="0" w:type="dxa"/>
            <w:right w:w="108" w:type="dxa"/>
          </w:tblCellMar>
        </w:tblPrEx>
        <w:trPr>
          <w:trHeight w:val="1190" w:hRule="atLeast"/>
        </w:trPr>
        <w:tc>
          <w:tcPr>
            <w:tcW w:w="250"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left"/>
              <w:rPr>
                <w:rFonts w:ascii="仿宋_GB2312" w:hAnsi="Times New Roman" w:cs="Times New Roman"/>
                <w:color w:val="000000"/>
                <w:kern w:val="0"/>
                <w:sz w:val="21"/>
                <w:szCs w:val="21"/>
              </w:rPr>
            </w:pPr>
          </w:p>
        </w:tc>
        <w:tc>
          <w:tcPr>
            <w:tcW w:w="250"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left"/>
              <w:rPr>
                <w:rFonts w:ascii="仿宋_GB2312" w:hAnsi="Times New Roman" w:cs="Times New Roman"/>
                <w:color w:val="000000"/>
                <w:kern w:val="0"/>
                <w:sz w:val="21"/>
                <w:szCs w:val="21"/>
              </w:rPr>
            </w:pPr>
          </w:p>
        </w:tc>
        <w:tc>
          <w:tcPr>
            <w:tcW w:w="250"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仿宋_GB2312" w:hAnsi="Times New Roman" w:cs="Times New Roman"/>
                <w:color w:val="000000"/>
                <w:kern w:val="0"/>
                <w:sz w:val="21"/>
                <w:szCs w:val="21"/>
              </w:rPr>
            </w:pPr>
            <w:r>
              <w:rPr>
                <w:rFonts w:hint="eastAsia" w:ascii="仿宋_GB2312" w:hAnsi="Times New Roman" w:cs="Times New Roman"/>
                <w:color w:val="000000"/>
                <w:kern w:val="0"/>
                <w:sz w:val="21"/>
                <w:szCs w:val="21"/>
              </w:rPr>
              <w:t>产出质量</w:t>
            </w:r>
          </w:p>
        </w:tc>
        <w:tc>
          <w:tcPr>
            <w:tcW w:w="250"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仿宋_GB2312" w:hAnsi="Times New Roman" w:cs="Times New Roman"/>
                <w:color w:val="000000"/>
                <w:kern w:val="0"/>
                <w:sz w:val="21"/>
                <w:szCs w:val="21"/>
              </w:rPr>
            </w:pPr>
            <w:r>
              <w:rPr>
                <w:rFonts w:ascii="仿宋_GB2312" w:hAnsi="Times New Roman" w:cs="Times New Roman"/>
                <w:color w:val="000000"/>
                <w:kern w:val="0"/>
                <w:sz w:val="21"/>
                <w:szCs w:val="21"/>
              </w:rPr>
              <w:t>12</w:t>
            </w:r>
          </w:p>
        </w:tc>
        <w:tc>
          <w:tcPr>
            <w:tcW w:w="443" w:type="pct"/>
            <w:tcBorders>
              <w:top w:val="single" w:color="auto" w:sz="4" w:space="0"/>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仿宋_GB2312" w:hAnsi="Times New Roman" w:cs="Times New Roman"/>
                <w:color w:val="000000"/>
                <w:kern w:val="0"/>
                <w:sz w:val="21"/>
                <w:szCs w:val="21"/>
              </w:rPr>
            </w:pPr>
            <w:r>
              <w:rPr>
                <w:rFonts w:hint="eastAsia" w:ascii="仿宋_GB2312" w:hAnsi="Times New Roman" w:cs="Times New Roman"/>
                <w:color w:val="000000"/>
                <w:kern w:val="0"/>
                <w:sz w:val="21"/>
                <w:szCs w:val="21"/>
              </w:rPr>
              <w:t>项目验收合格率</w:t>
            </w:r>
          </w:p>
        </w:tc>
        <w:tc>
          <w:tcPr>
            <w:tcW w:w="266" w:type="pct"/>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Times New Roman" w:cs="Times New Roman"/>
                <w:color w:val="000000"/>
                <w:kern w:val="0"/>
                <w:sz w:val="21"/>
                <w:szCs w:val="21"/>
              </w:rPr>
            </w:pPr>
            <w:r>
              <w:rPr>
                <w:rFonts w:ascii="仿宋_GB2312" w:hAnsi="Times New Roman" w:cs="Times New Roman"/>
                <w:color w:val="000000"/>
                <w:kern w:val="0"/>
                <w:sz w:val="21"/>
                <w:szCs w:val="21"/>
              </w:rPr>
              <w:t>4</w:t>
            </w:r>
          </w:p>
        </w:tc>
        <w:tc>
          <w:tcPr>
            <w:tcW w:w="861" w:type="pct"/>
            <w:tcBorders>
              <w:top w:val="single" w:color="auto" w:sz="4" w:space="0"/>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仿宋_GB2312" w:hAnsi="Times New Roman" w:cs="Times New Roman"/>
                <w:color w:val="000000"/>
                <w:kern w:val="0"/>
                <w:sz w:val="21"/>
                <w:szCs w:val="21"/>
              </w:rPr>
            </w:pPr>
            <w:r>
              <w:rPr>
                <w:rFonts w:hint="eastAsia" w:ascii="仿宋_GB2312" w:hAnsi="Times New Roman" w:cs="Times New Roman"/>
                <w:color w:val="000000"/>
                <w:kern w:val="0"/>
                <w:sz w:val="21"/>
                <w:szCs w:val="21"/>
              </w:rPr>
              <w:t>考核信息系统运维、升级验收合格情况。</w:t>
            </w:r>
          </w:p>
        </w:tc>
        <w:tc>
          <w:tcPr>
            <w:tcW w:w="1746" w:type="pct"/>
            <w:tcBorders>
              <w:top w:val="single" w:color="auto" w:sz="4" w:space="0"/>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仿宋_GB2312" w:hAnsi="Times New Roman" w:cs="Times New Roman"/>
                <w:color w:val="000000"/>
                <w:kern w:val="0"/>
                <w:sz w:val="21"/>
                <w:szCs w:val="21"/>
              </w:rPr>
            </w:pPr>
            <w:r>
              <w:rPr>
                <w:rFonts w:hint="eastAsia" w:ascii="仿宋_GB2312" w:hAnsi="Times New Roman" w:cs="Times New Roman"/>
                <w:color w:val="000000"/>
                <w:kern w:val="0"/>
                <w:sz w:val="21"/>
                <w:szCs w:val="21"/>
              </w:rPr>
              <w:t>本指标得分=系统运维项目验收合格率*2+系统升级项目验收合格率*2</w:t>
            </w:r>
          </w:p>
        </w:tc>
        <w:tc>
          <w:tcPr>
            <w:tcW w:w="303" w:type="pct"/>
            <w:tcBorders>
              <w:top w:val="single" w:color="auto" w:sz="4" w:space="0"/>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仿宋_GB2312" w:hAnsi="Times New Roman" w:cs="Times New Roman"/>
                <w:color w:val="000000"/>
                <w:kern w:val="0"/>
                <w:sz w:val="21"/>
                <w:szCs w:val="21"/>
              </w:rPr>
            </w:pPr>
            <w:r>
              <w:rPr>
                <w:rFonts w:ascii="仿宋_GB2312" w:hAnsi="Times New Roman" w:cs="Times New Roman"/>
                <w:color w:val="000000"/>
                <w:kern w:val="0"/>
                <w:sz w:val="21"/>
                <w:szCs w:val="21"/>
              </w:rPr>
              <w:t>4</w:t>
            </w:r>
          </w:p>
        </w:tc>
        <w:tc>
          <w:tcPr>
            <w:tcW w:w="381" w:type="pct"/>
            <w:tcBorders>
              <w:top w:val="single" w:color="auto" w:sz="4" w:space="0"/>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仿宋_GB2312" w:hAnsi="Times New Roman" w:cs="Times New Roman"/>
                <w:color w:val="000000"/>
                <w:kern w:val="0"/>
                <w:sz w:val="21"/>
                <w:szCs w:val="21"/>
              </w:rPr>
            </w:pPr>
            <w:r>
              <w:rPr>
                <w:rFonts w:hint="eastAsia" w:ascii="仿宋_GB2312" w:hAnsi="Times New Roman" w:cs="Times New Roman"/>
                <w:color w:val="000000"/>
                <w:kern w:val="0"/>
                <w:sz w:val="21"/>
                <w:szCs w:val="21"/>
              </w:rPr>
              <w:t>　</w:t>
            </w:r>
          </w:p>
        </w:tc>
      </w:tr>
      <w:tr>
        <w:tblPrEx>
          <w:tblCellMar>
            <w:top w:w="0" w:type="dxa"/>
            <w:left w:w="108" w:type="dxa"/>
            <w:bottom w:w="0" w:type="dxa"/>
            <w:right w:w="108" w:type="dxa"/>
          </w:tblCellMar>
        </w:tblPrEx>
        <w:trPr>
          <w:trHeight w:val="1690" w:hRule="atLeast"/>
        </w:trPr>
        <w:tc>
          <w:tcPr>
            <w:tcW w:w="250"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left"/>
              <w:rPr>
                <w:rFonts w:ascii="仿宋_GB2312" w:hAnsi="Times New Roman" w:cs="Times New Roman"/>
                <w:color w:val="000000"/>
                <w:kern w:val="0"/>
                <w:sz w:val="21"/>
                <w:szCs w:val="21"/>
              </w:rPr>
            </w:pPr>
          </w:p>
        </w:tc>
        <w:tc>
          <w:tcPr>
            <w:tcW w:w="250"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left"/>
              <w:rPr>
                <w:rFonts w:ascii="仿宋_GB2312" w:hAnsi="Times New Roman" w:cs="Times New Roman"/>
                <w:color w:val="000000"/>
                <w:kern w:val="0"/>
                <w:sz w:val="21"/>
                <w:szCs w:val="21"/>
              </w:rPr>
            </w:pPr>
          </w:p>
        </w:tc>
        <w:tc>
          <w:tcPr>
            <w:tcW w:w="250"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left"/>
              <w:rPr>
                <w:rFonts w:ascii="仿宋_GB2312" w:hAnsi="Times New Roman" w:cs="Times New Roman"/>
                <w:color w:val="000000"/>
                <w:kern w:val="0"/>
                <w:sz w:val="21"/>
                <w:szCs w:val="21"/>
              </w:rPr>
            </w:pPr>
          </w:p>
        </w:tc>
        <w:tc>
          <w:tcPr>
            <w:tcW w:w="250"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left"/>
              <w:rPr>
                <w:rFonts w:ascii="仿宋_GB2312" w:hAnsi="Times New Roman" w:cs="Times New Roman"/>
                <w:color w:val="000000"/>
                <w:kern w:val="0"/>
                <w:sz w:val="21"/>
                <w:szCs w:val="21"/>
              </w:rPr>
            </w:pPr>
          </w:p>
        </w:tc>
        <w:tc>
          <w:tcPr>
            <w:tcW w:w="443" w:type="pct"/>
            <w:tcBorders>
              <w:top w:val="single" w:color="auto" w:sz="4" w:space="0"/>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仿宋_GB2312" w:hAnsi="Times New Roman" w:cs="Times New Roman"/>
                <w:color w:val="000000"/>
                <w:kern w:val="0"/>
                <w:sz w:val="21"/>
                <w:szCs w:val="21"/>
              </w:rPr>
            </w:pPr>
            <w:r>
              <w:rPr>
                <w:rFonts w:hint="eastAsia" w:ascii="仿宋_GB2312" w:hAnsi="Times New Roman" w:cs="Times New Roman"/>
                <w:color w:val="000000"/>
                <w:kern w:val="0"/>
                <w:sz w:val="21"/>
                <w:szCs w:val="21"/>
              </w:rPr>
              <w:t>系统培训参与率</w:t>
            </w:r>
          </w:p>
        </w:tc>
        <w:tc>
          <w:tcPr>
            <w:tcW w:w="266" w:type="pct"/>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Times New Roman" w:cs="Times New Roman"/>
                <w:color w:val="000000"/>
                <w:kern w:val="0"/>
                <w:sz w:val="21"/>
                <w:szCs w:val="21"/>
              </w:rPr>
            </w:pPr>
            <w:r>
              <w:rPr>
                <w:rFonts w:ascii="仿宋_GB2312" w:hAnsi="Times New Roman" w:cs="Times New Roman"/>
                <w:color w:val="000000"/>
                <w:kern w:val="0"/>
                <w:sz w:val="21"/>
                <w:szCs w:val="21"/>
              </w:rPr>
              <w:t>2</w:t>
            </w:r>
          </w:p>
        </w:tc>
        <w:tc>
          <w:tcPr>
            <w:tcW w:w="861" w:type="pct"/>
            <w:tcBorders>
              <w:top w:val="single" w:color="auto" w:sz="4" w:space="0"/>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仿宋_GB2312" w:hAnsi="Times New Roman" w:cs="Times New Roman"/>
                <w:color w:val="000000"/>
                <w:kern w:val="0"/>
                <w:sz w:val="21"/>
                <w:szCs w:val="21"/>
              </w:rPr>
            </w:pPr>
            <w:r>
              <w:rPr>
                <w:rFonts w:hint="eastAsia" w:ascii="仿宋_GB2312" w:hAnsi="Times New Roman" w:cs="Times New Roman"/>
                <w:color w:val="000000"/>
                <w:kern w:val="0"/>
                <w:sz w:val="21"/>
                <w:szCs w:val="21"/>
              </w:rPr>
              <w:t>考核2021年度组织的财务信息系统培训，各集中核算单位工作人员参与度情况。</w:t>
            </w:r>
          </w:p>
        </w:tc>
        <w:tc>
          <w:tcPr>
            <w:tcW w:w="1746" w:type="pct"/>
            <w:tcBorders>
              <w:top w:val="single" w:color="auto" w:sz="4" w:space="0"/>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仿宋_GB2312" w:hAnsi="Times New Roman" w:cs="Times New Roman"/>
                <w:color w:val="000000"/>
                <w:kern w:val="0"/>
                <w:sz w:val="21"/>
                <w:szCs w:val="21"/>
              </w:rPr>
            </w:pPr>
            <w:r>
              <w:rPr>
                <w:rFonts w:hint="eastAsia" w:ascii="仿宋_GB2312" w:hAnsi="Times New Roman" w:cs="Times New Roman"/>
                <w:color w:val="000000"/>
                <w:kern w:val="0"/>
                <w:sz w:val="21"/>
                <w:szCs w:val="21"/>
              </w:rPr>
              <w:t>本指标得分=系统培训参与率*</w:t>
            </w:r>
            <w:r>
              <w:rPr>
                <w:rFonts w:ascii="仿宋_GB2312" w:hAnsi="Times New Roman" w:cs="Times New Roman"/>
                <w:color w:val="000000"/>
                <w:kern w:val="0"/>
                <w:sz w:val="21"/>
                <w:szCs w:val="21"/>
              </w:rPr>
              <w:t>2</w:t>
            </w:r>
          </w:p>
        </w:tc>
        <w:tc>
          <w:tcPr>
            <w:tcW w:w="303" w:type="pct"/>
            <w:tcBorders>
              <w:top w:val="single" w:color="auto" w:sz="4" w:space="0"/>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仿宋_GB2312" w:hAnsi="Times New Roman" w:cs="Times New Roman"/>
                <w:color w:val="000000"/>
                <w:kern w:val="0"/>
                <w:sz w:val="21"/>
                <w:szCs w:val="21"/>
              </w:rPr>
            </w:pPr>
            <w:r>
              <w:rPr>
                <w:rFonts w:ascii="仿宋_GB2312" w:hAnsi="Times New Roman" w:cs="Times New Roman"/>
                <w:color w:val="000000"/>
                <w:kern w:val="0"/>
                <w:sz w:val="21"/>
                <w:szCs w:val="21"/>
              </w:rPr>
              <w:t>1.15</w:t>
            </w:r>
          </w:p>
        </w:tc>
        <w:tc>
          <w:tcPr>
            <w:tcW w:w="381" w:type="pct"/>
            <w:tcBorders>
              <w:top w:val="single" w:color="auto" w:sz="4" w:space="0"/>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仿宋_GB2312" w:hAnsi="Times New Roman" w:cs="Times New Roman"/>
                <w:color w:val="000000"/>
                <w:kern w:val="0"/>
                <w:sz w:val="21"/>
                <w:szCs w:val="21"/>
              </w:rPr>
            </w:pPr>
          </w:p>
        </w:tc>
      </w:tr>
      <w:tr>
        <w:tblPrEx>
          <w:tblCellMar>
            <w:top w:w="0" w:type="dxa"/>
            <w:left w:w="108" w:type="dxa"/>
            <w:bottom w:w="0" w:type="dxa"/>
            <w:right w:w="108" w:type="dxa"/>
          </w:tblCellMar>
        </w:tblPrEx>
        <w:trPr>
          <w:trHeight w:val="1190" w:hRule="atLeast"/>
        </w:trPr>
        <w:tc>
          <w:tcPr>
            <w:tcW w:w="250"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left"/>
              <w:rPr>
                <w:rFonts w:ascii="仿宋_GB2312" w:hAnsi="Times New Roman" w:cs="Times New Roman"/>
                <w:color w:val="000000"/>
                <w:kern w:val="0"/>
                <w:sz w:val="21"/>
                <w:szCs w:val="21"/>
              </w:rPr>
            </w:pPr>
          </w:p>
        </w:tc>
        <w:tc>
          <w:tcPr>
            <w:tcW w:w="250"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left"/>
              <w:rPr>
                <w:rFonts w:ascii="仿宋_GB2312" w:hAnsi="Times New Roman" w:cs="Times New Roman"/>
                <w:color w:val="000000"/>
                <w:kern w:val="0"/>
                <w:sz w:val="21"/>
                <w:szCs w:val="21"/>
              </w:rPr>
            </w:pPr>
          </w:p>
        </w:tc>
        <w:tc>
          <w:tcPr>
            <w:tcW w:w="250"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left"/>
              <w:rPr>
                <w:rFonts w:ascii="仿宋_GB2312" w:hAnsi="Times New Roman" w:cs="Times New Roman"/>
                <w:color w:val="000000"/>
                <w:kern w:val="0"/>
                <w:sz w:val="21"/>
                <w:szCs w:val="21"/>
              </w:rPr>
            </w:pPr>
          </w:p>
        </w:tc>
        <w:tc>
          <w:tcPr>
            <w:tcW w:w="250"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left"/>
              <w:rPr>
                <w:rFonts w:ascii="仿宋_GB2312" w:hAnsi="Times New Roman" w:cs="Times New Roman"/>
                <w:color w:val="000000"/>
                <w:kern w:val="0"/>
                <w:sz w:val="21"/>
                <w:szCs w:val="21"/>
              </w:rPr>
            </w:pPr>
          </w:p>
        </w:tc>
        <w:tc>
          <w:tcPr>
            <w:tcW w:w="443" w:type="pct"/>
            <w:tcBorders>
              <w:top w:val="single" w:color="auto" w:sz="4" w:space="0"/>
              <w:left w:val="nil"/>
              <w:bottom w:val="single" w:color="auto" w:sz="4" w:space="0"/>
              <w:right w:val="single" w:color="auto" w:sz="4" w:space="0"/>
            </w:tcBorders>
            <w:shd w:val="clear" w:color="000000" w:fill="FFFFFF"/>
            <w:vAlign w:val="center"/>
          </w:tcPr>
          <w:p>
            <w:pPr>
              <w:widowControl/>
              <w:spacing w:line="240" w:lineRule="auto"/>
              <w:ind w:firstLine="0" w:firstLineChars="0"/>
              <w:jc w:val="center"/>
              <w:rPr>
                <w:rFonts w:ascii="仿宋_GB2312" w:hAnsi="Times New Roman" w:cs="Times New Roman"/>
                <w:color w:val="000000"/>
                <w:kern w:val="0"/>
                <w:sz w:val="21"/>
                <w:szCs w:val="21"/>
              </w:rPr>
            </w:pPr>
            <w:r>
              <w:rPr>
                <w:rFonts w:hint="eastAsia" w:ascii="仿宋_GB2312" w:hAnsi="Times New Roman" w:cs="Times New Roman"/>
                <w:color w:val="000000"/>
                <w:kern w:val="0"/>
                <w:sz w:val="21"/>
                <w:szCs w:val="21"/>
              </w:rPr>
              <w:t>故障排除率</w:t>
            </w:r>
          </w:p>
        </w:tc>
        <w:tc>
          <w:tcPr>
            <w:tcW w:w="266" w:type="pct"/>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Times New Roman" w:cs="Times New Roman"/>
                <w:color w:val="000000"/>
                <w:kern w:val="0"/>
                <w:sz w:val="21"/>
                <w:szCs w:val="21"/>
              </w:rPr>
            </w:pPr>
            <w:r>
              <w:rPr>
                <w:rFonts w:ascii="仿宋_GB2312" w:hAnsi="Times New Roman" w:cs="Times New Roman"/>
                <w:color w:val="000000"/>
                <w:kern w:val="0"/>
                <w:sz w:val="21"/>
                <w:szCs w:val="21"/>
              </w:rPr>
              <w:t>6</w:t>
            </w:r>
          </w:p>
        </w:tc>
        <w:tc>
          <w:tcPr>
            <w:tcW w:w="861" w:type="pct"/>
            <w:tcBorders>
              <w:top w:val="single" w:color="auto" w:sz="4" w:space="0"/>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仿宋_GB2312" w:hAnsi="Times New Roman" w:cs="Times New Roman"/>
                <w:color w:val="000000"/>
                <w:kern w:val="0"/>
                <w:sz w:val="21"/>
                <w:szCs w:val="21"/>
              </w:rPr>
            </w:pPr>
            <w:r>
              <w:rPr>
                <w:rFonts w:hint="eastAsia" w:ascii="仿宋_GB2312" w:hAnsi="Times New Roman" w:cs="Times New Roman"/>
                <w:color w:val="000000"/>
                <w:kern w:val="0"/>
                <w:sz w:val="21"/>
                <w:szCs w:val="21"/>
              </w:rPr>
              <w:t>考核对信息系统出现的故障解决完成情况。</w:t>
            </w:r>
          </w:p>
        </w:tc>
        <w:tc>
          <w:tcPr>
            <w:tcW w:w="1746" w:type="pct"/>
            <w:tcBorders>
              <w:top w:val="single" w:color="auto" w:sz="4" w:space="0"/>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仿宋_GB2312" w:hAnsi="Times New Roman" w:cs="Times New Roman"/>
                <w:color w:val="000000"/>
                <w:kern w:val="0"/>
                <w:sz w:val="21"/>
                <w:szCs w:val="21"/>
              </w:rPr>
            </w:pPr>
            <w:r>
              <w:rPr>
                <w:rFonts w:hint="eastAsia" w:ascii="仿宋_GB2312" w:hAnsi="Times New Roman" w:cs="Times New Roman"/>
                <w:color w:val="000000"/>
                <w:kern w:val="0"/>
                <w:sz w:val="21"/>
                <w:szCs w:val="21"/>
              </w:rPr>
              <w:t>本指标得分=（本年故障排除数量/本年故障发生总数量）*100%*</w:t>
            </w:r>
            <w:r>
              <w:rPr>
                <w:rFonts w:ascii="仿宋_GB2312" w:hAnsi="Times New Roman" w:cs="Times New Roman"/>
                <w:color w:val="000000"/>
                <w:kern w:val="0"/>
                <w:sz w:val="21"/>
                <w:szCs w:val="21"/>
              </w:rPr>
              <w:t>6</w:t>
            </w:r>
          </w:p>
        </w:tc>
        <w:tc>
          <w:tcPr>
            <w:tcW w:w="303" w:type="pct"/>
            <w:tcBorders>
              <w:top w:val="single" w:color="auto" w:sz="4" w:space="0"/>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仿宋_GB2312" w:hAnsi="Times New Roman" w:cs="Times New Roman"/>
                <w:color w:val="000000"/>
                <w:kern w:val="0"/>
                <w:sz w:val="21"/>
                <w:szCs w:val="21"/>
              </w:rPr>
            </w:pPr>
            <w:r>
              <w:rPr>
                <w:rFonts w:ascii="仿宋_GB2312" w:hAnsi="Times New Roman" w:cs="Times New Roman"/>
                <w:color w:val="000000"/>
                <w:kern w:val="0"/>
                <w:sz w:val="21"/>
                <w:szCs w:val="21"/>
              </w:rPr>
              <w:t>6</w:t>
            </w:r>
          </w:p>
        </w:tc>
        <w:tc>
          <w:tcPr>
            <w:tcW w:w="381" w:type="pct"/>
            <w:tcBorders>
              <w:top w:val="single" w:color="auto" w:sz="4" w:space="0"/>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仿宋_GB2312" w:hAnsi="Times New Roman" w:cs="Times New Roman"/>
                <w:color w:val="000000"/>
                <w:kern w:val="0"/>
                <w:sz w:val="21"/>
                <w:szCs w:val="21"/>
              </w:rPr>
            </w:pPr>
            <w:r>
              <w:rPr>
                <w:rFonts w:hint="eastAsia" w:ascii="仿宋_GB2312" w:hAnsi="Times New Roman" w:cs="Times New Roman"/>
                <w:color w:val="000000"/>
                <w:kern w:val="0"/>
                <w:sz w:val="21"/>
                <w:szCs w:val="21"/>
              </w:rPr>
              <w:t>　</w:t>
            </w:r>
          </w:p>
        </w:tc>
      </w:tr>
      <w:tr>
        <w:tblPrEx>
          <w:tblCellMar>
            <w:top w:w="0" w:type="dxa"/>
            <w:left w:w="108" w:type="dxa"/>
            <w:bottom w:w="0" w:type="dxa"/>
            <w:right w:w="108" w:type="dxa"/>
          </w:tblCellMar>
        </w:tblPrEx>
        <w:trPr>
          <w:trHeight w:val="1450" w:hRule="atLeast"/>
        </w:trPr>
        <w:tc>
          <w:tcPr>
            <w:tcW w:w="250"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left"/>
              <w:rPr>
                <w:rFonts w:ascii="仿宋_GB2312" w:hAnsi="Times New Roman" w:cs="Times New Roman"/>
                <w:color w:val="000000"/>
                <w:kern w:val="0"/>
                <w:sz w:val="21"/>
                <w:szCs w:val="21"/>
              </w:rPr>
            </w:pPr>
          </w:p>
        </w:tc>
        <w:tc>
          <w:tcPr>
            <w:tcW w:w="250"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left"/>
              <w:rPr>
                <w:rFonts w:ascii="仿宋_GB2312" w:hAnsi="Times New Roman" w:cs="Times New Roman"/>
                <w:color w:val="000000"/>
                <w:kern w:val="0"/>
                <w:sz w:val="21"/>
                <w:szCs w:val="21"/>
              </w:rPr>
            </w:pPr>
          </w:p>
        </w:tc>
        <w:tc>
          <w:tcPr>
            <w:tcW w:w="250"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仿宋_GB2312" w:hAnsi="Times New Roman" w:cs="Times New Roman"/>
                <w:color w:val="000000"/>
                <w:kern w:val="0"/>
                <w:sz w:val="21"/>
                <w:szCs w:val="21"/>
              </w:rPr>
            </w:pPr>
            <w:r>
              <w:rPr>
                <w:rFonts w:hint="eastAsia" w:ascii="仿宋_GB2312" w:hAnsi="Times New Roman" w:cs="Times New Roman"/>
                <w:color w:val="000000"/>
                <w:kern w:val="0"/>
                <w:sz w:val="21"/>
                <w:szCs w:val="21"/>
              </w:rPr>
              <w:t>产出时效</w:t>
            </w:r>
          </w:p>
        </w:tc>
        <w:tc>
          <w:tcPr>
            <w:tcW w:w="250"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仿宋_GB2312" w:hAnsi="Times New Roman" w:cs="Times New Roman"/>
                <w:color w:val="000000"/>
                <w:kern w:val="0"/>
                <w:sz w:val="21"/>
                <w:szCs w:val="21"/>
              </w:rPr>
            </w:pPr>
            <w:r>
              <w:rPr>
                <w:rFonts w:ascii="仿宋_GB2312" w:hAnsi="Times New Roman" w:cs="Times New Roman"/>
                <w:color w:val="000000"/>
                <w:kern w:val="0"/>
                <w:sz w:val="21"/>
                <w:szCs w:val="21"/>
              </w:rPr>
              <w:t>5</w:t>
            </w:r>
          </w:p>
        </w:tc>
        <w:tc>
          <w:tcPr>
            <w:tcW w:w="443" w:type="pct"/>
            <w:tcBorders>
              <w:top w:val="single" w:color="auto" w:sz="4" w:space="0"/>
              <w:left w:val="nil"/>
              <w:bottom w:val="single" w:color="auto" w:sz="4" w:space="0"/>
              <w:right w:val="single" w:color="auto" w:sz="4" w:space="0"/>
            </w:tcBorders>
            <w:shd w:val="clear" w:color="000000" w:fill="FFFFFF"/>
            <w:vAlign w:val="center"/>
          </w:tcPr>
          <w:p>
            <w:pPr>
              <w:widowControl/>
              <w:spacing w:line="240" w:lineRule="auto"/>
              <w:ind w:firstLine="0" w:firstLineChars="0"/>
              <w:jc w:val="center"/>
              <w:rPr>
                <w:rFonts w:ascii="仿宋_GB2312" w:hAnsi="Times New Roman" w:cs="Times New Roman"/>
                <w:color w:val="000000"/>
                <w:kern w:val="0"/>
                <w:sz w:val="21"/>
                <w:szCs w:val="21"/>
              </w:rPr>
            </w:pPr>
            <w:r>
              <w:rPr>
                <w:rFonts w:hint="eastAsia" w:ascii="仿宋_GB2312" w:hAnsi="Times New Roman" w:cs="Times New Roman"/>
                <w:color w:val="000000"/>
                <w:kern w:val="0"/>
                <w:sz w:val="21"/>
                <w:szCs w:val="21"/>
              </w:rPr>
              <w:t>银行对账数据导入及时率</w:t>
            </w:r>
          </w:p>
        </w:tc>
        <w:tc>
          <w:tcPr>
            <w:tcW w:w="266" w:type="pct"/>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Times New Roman" w:cs="Times New Roman"/>
                <w:color w:val="000000"/>
                <w:kern w:val="0"/>
                <w:sz w:val="21"/>
                <w:szCs w:val="21"/>
              </w:rPr>
            </w:pPr>
            <w:r>
              <w:rPr>
                <w:rFonts w:ascii="仿宋_GB2312" w:hAnsi="Times New Roman" w:cs="Times New Roman"/>
                <w:color w:val="000000"/>
                <w:kern w:val="0"/>
                <w:sz w:val="21"/>
                <w:szCs w:val="21"/>
              </w:rPr>
              <w:t>2</w:t>
            </w:r>
          </w:p>
        </w:tc>
        <w:tc>
          <w:tcPr>
            <w:tcW w:w="861" w:type="pct"/>
            <w:tcBorders>
              <w:top w:val="single" w:color="auto" w:sz="4" w:space="0"/>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仿宋_GB2312" w:hAnsi="Times New Roman" w:cs="Times New Roman"/>
                <w:color w:val="000000"/>
                <w:kern w:val="0"/>
                <w:sz w:val="21"/>
                <w:szCs w:val="21"/>
              </w:rPr>
            </w:pPr>
            <w:r>
              <w:rPr>
                <w:rFonts w:hint="eastAsia" w:ascii="仿宋_GB2312" w:hAnsi="Times New Roman" w:cs="Times New Roman"/>
                <w:color w:val="000000"/>
                <w:kern w:val="0"/>
                <w:sz w:val="21"/>
                <w:szCs w:val="21"/>
              </w:rPr>
              <w:t>考核银行对账数据导入工作的及时性情况。</w:t>
            </w:r>
          </w:p>
        </w:tc>
        <w:tc>
          <w:tcPr>
            <w:tcW w:w="1746" w:type="pct"/>
            <w:tcBorders>
              <w:top w:val="single" w:color="auto" w:sz="4" w:space="0"/>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仿宋_GB2312" w:hAnsi="Times New Roman" w:cs="Times New Roman"/>
                <w:color w:val="000000"/>
                <w:kern w:val="0"/>
                <w:sz w:val="21"/>
                <w:szCs w:val="21"/>
              </w:rPr>
            </w:pPr>
            <w:r>
              <w:rPr>
                <w:rFonts w:hint="eastAsia" w:ascii="仿宋_GB2312" w:hAnsi="Times New Roman" w:cs="Times New Roman"/>
                <w:color w:val="000000"/>
                <w:kern w:val="0"/>
                <w:sz w:val="21"/>
                <w:szCs w:val="21"/>
              </w:rPr>
              <w:t>本指标得分=银行对账数据导入及时率*</w:t>
            </w:r>
            <w:r>
              <w:rPr>
                <w:rFonts w:ascii="仿宋_GB2312" w:hAnsi="Times New Roman" w:cs="Times New Roman"/>
                <w:color w:val="000000"/>
                <w:kern w:val="0"/>
                <w:sz w:val="21"/>
                <w:szCs w:val="21"/>
              </w:rPr>
              <w:t>2</w:t>
            </w:r>
          </w:p>
        </w:tc>
        <w:tc>
          <w:tcPr>
            <w:tcW w:w="303" w:type="pct"/>
            <w:tcBorders>
              <w:top w:val="single" w:color="auto" w:sz="4" w:space="0"/>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仿宋_GB2312" w:hAnsi="Times New Roman" w:cs="Times New Roman"/>
                <w:color w:val="000000"/>
                <w:kern w:val="0"/>
                <w:sz w:val="21"/>
                <w:szCs w:val="21"/>
              </w:rPr>
            </w:pPr>
            <w:r>
              <w:rPr>
                <w:rFonts w:ascii="仿宋_GB2312" w:hAnsi="Times New Roman" w:cs="Times New Roman"/>
                <w:color w:val="000000"/>
                <w:kern w:val="0"/>
                <w:sz w:val="21"/>
                <w:szCs w:val="21"/>
              </w:rPr>
              <w:t>1.51</w:t>
            </w:r>
          </w:p>
        </w:tc>
        <w:tc>
          <w:tcPr>
            <w:tcW w:w="381" w:type="pct"/>
            <w:tcBorders>
              <w:top w:val="single" w:color="auto" w:sz="4" w:space="0"/>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仿宋_GB2312" w:hAnsi="Times New Roman" w:cs="Times New Roman"/>
                <w:color w:val="000000"/>
                <w:kern w:val="0"/>
                <w:sz w:val="21"/>
                <w:szCs w:val="21"/>
              </w:rPr>
            </w:pPr>
          </w:p>
        </w:tc>
      </w:tr>
      <w:tr>
        <w:tblPrEx>
          <w:tblCellMar>
            <w:top w:w="0" w:type="dxa"/>
            <w:left w:w="108" w:type="dxa"/>
            <w:bottom w:w="0" w:type="dxa"/>
            <w:right w:w="108" w:type="dxa"/>
          </w:tblCellMar>
        </w:tblPrEx>
        <w:trPr>
          <w:trHeight w:val="2860" w:hRule="atLeast"/>
        </w:trPr>
        <w:tc>
          <w:tcPr>
            <w:tcW w:w="250"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left"/>
              <w:rPr>
                <w:rFonts w:ascii="仿宋_GB2312" w:hAnsi="Times New Roman" w:cs="Times New Roman"/>
                <w:color w:val="000000"/>
                <w:kern w:val="0"/>
                <w:sz w:val="21"/>
                <w:szCs w:val="21"/>
              </w:rPr>
            </w:pPr>
          </w:p>
        </w:tc>
        <w:tc>
          <w:tcPr>
            <w:tcW w:w="250"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left"/>
              <w:rPr>
                <w:rFonts w:ascii="仿宋_GB2312" w:hAnsi="Times New Roman" w:cs="Times New Roman"/>
                <w:color w:val="000000"/>
                <w:kern w:val="0"/>
                <w:sz w:val="21"/>
                <w:szCs w:val="21"/>
              </w:rPr>
            </w:pPr>
          </w:p>
        </w:tc>
        <w:tc>
          <w:tcPr>
            <w:tcW w:w="250"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left"/>
              <w:rPr>
                <w:rFonts w:ascii="仿宋_GB2312" w:hAnsi="Times New Roman" w:cs="Times New Roman"/>
                <w:color w:val="000000"/>
                <w:kern w:val="0"/>
                <w:sz w:val="21"/>
                <w:szCs w:val="21"/>
              </w:rPr>
            </w:pPr>
          </w:p>
        </w:tc>
        <w:tc>
          <w:tcPr>
            <w:tcW w:w="250"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left"/>
              <w:rPr>
                <w:rFonts w:ascii="仿宋_GB2312" w:hAnsi="Times New Roman" w:cs="Times New Roman"/>
                <w:color w:val="000000"/>
                <w:kern w:val="0"/>
                <w:sz w:val="21"/>
                <w:szCs w:val="21"/>
              </w:rPr>
            </w:pPr>
          </w:p>
        </w:tc>
        <w:tc>
          <w:tcPr>
            <w:tcW w:w="443" w:type="pct"/>
            <w:tcBorders>
              <w:top w:val="single" w:color="auto" w:sz="4" w:space="0"/>
              <w:left w:val="nil"/>
              <w:bottom w:val="single" w:color="auto" w:sz="4" w:space="0"/>
              <w:right w:val="single" w:color="auto" w:sz="4" w:space="0"/>
            </w:tcBorders>
            <w:shd w:val="clear" w:color="000000" w:fill="FFFFFF"/>
            <w:vAlign w:val="center"/>
          </w:tcPr>
          <w:p>
            <w:pPr>
              <w:widowControl/>
              <w:spacing w:line="240" w:lineRule="auto"/>
              <w:ind w:firstLine="0" w:firstLineChars="0"/>
              <w:jc w:val="center"/>
              <w:rPr>
                <w:rFonts w:ascii="仿宋_GB2312" w:hAnsi="Times New Roman" w:cs="Times New Roman"/>
                <w:color w:val="000000"/>
                <w:kern w:val="0"/>
                <w:sz w:val="21"/>
                <w:szCs w:val="21"/>
              </w:rPr>
            </w:pPr>
            <w:r>
              <w:rPr>
                <w:rFonts w:hint="eastAsia" w:ascii="仿宋_GB2312" w:hAnsi="Times New Roman" w:cs="Times New Roman"/>
                <w:color w:val="000000"/>
                <w:kern w:val="0"/>
                <w:sz w:val="21"/>
                <w:szCs w:val="21"/>
              </w:rPr>
              <w:t>故障处理及时率</w:t>
            </w:r>
          </w:p>
        </w:tc>
        <w:tc>
          <w:tcPr>
            <w:tcW w:w="266" w:type="pct"/>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Times New Roman" w:cs="Times New Roman"/>
                <w:color w:val="000000"/>
                <w:kern w:val="0"/>
                <w:sz w:val="21"/>
                <w:szCs w:val="21"/>
              </w:rPr>
            </w:pPr>
            <w:r>
              <w:rPr>
                <w:rFonts w:ascii="仿宋_GB2312" w:hAnsi="Times New Roman" w:cs="Times New Roman"/>
                <w:color w:val="000000"/>
                <w:kern w:val="0"/>
                <w:sz w:val="21"/>
                <w:szCs w:val="21"/>
              </w:rPr>
              <w:t>3</w:t>
            </w:r>
          </w:p>
        </w:tc>
        <w:tc>
          <w:tcPr>
            <w:tcW w:w="861" w:type="pct"/>
            <w:tcBorders>
              <w:top w:val="single" w:color="auto" w:sz="4" w:space="0"/>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仿宋_GB2312" w:hAnsi="Times New Roman" w:cs="Times New Roman"/>
                <w:color w:val="000000"/>
                <w:kern w:val="0"/>
                <w:sz w:val="21"/>
                <w:szCs w:val="21"/>
              </w:rPr>
            </w:pPr>
            <w:r>
              <w:rPr>
                <w:rFonts w:hint="eastAsia" w:ascii="仿宋_GB2312" w:hAnsi="Times New Roman" w:cs="Times New Roman"/>
                <w:color w:val="000000"/>
                <w:kern w:val="0"/>
                <w:sz w:val="21"/>
                <w:szCs w:val="21"/>
              </w:rPr>
              <w:t>考核对于故障处理的及时性情况。</w:t>
            </w:r>
          </w:p>
        </w:tc>
        <w:tc>
          <w:tcPr>
            <w:tcW w:w="1746" w:type="pct"/>
            <w:tcBorders>
              <w:top w:val="single" w:color="auto" w:sz="4" w:space="0"/>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仿宋_GB2312" w:hAnsi="Times New Roman" w:cs="Times New Roman"/>
                <w:color w:val="000000"/>
                <w:kern w:val="0"/>
                <w:sz w:val="21"/>
                <w:szCs w:val="21"/>
              </w:rPr>
            </w:pPr>
            <w:r>
              <w:rPr>
                <w:rFonts w:hint="eastAsia" w:ascii="仿宋_GB2312" w:hAnsi="Times New Roman" w:cs="Times New Roman"/>
                <w:color w:val="000000"/>
                <w:kern w:val="0"/>
                <w:sz w:val="21"/>
                <w:szCs w:val="21"/>
              </w:rPr>
              <w:t>本指标得分=（故障2小时内处理数/总故障数）*100%*</w:t>
            </w:r>
            <w:r>
              <w:rPr>
                <w:rFonts w:ascii="仿宋_GB2312" w:hAnsi="Times New Roman" w:cs="Times New Roman"/>
                <w:color w:val="000000"/>
                <w:kern w:val="0"/>
                <w:sz w:val="21"/>
                <w:szCs w:val="21"/>
              </w:rPr>
              <w:t>3</w:t>
            </w:r>
            <w:r>
              <w:rPr>
                <w:rFonts w:hint="eastAsia" w:ascii="仿宋_GB2312" w:hAnsi="Times New Roman" w:cs="Times New Roman"/>
                <w:color w:val="000000"/>
                <w:kern w:val="0"/>
                <w:sz w:val="21"/>
                <w:szCs w:val="21"/>
              </w:rPr>
              <w:t>+（故障2-4小时内处理数/总故障数）*100%*</w:t>
            </w:r>
            <w:r>
              <w:rPr>
                <w:rFonts w:ascii="仿宋_GB2312" w:hAnsi="Times New Roman" w:cs="Times New Roman"/>
                <w:color w:val="000000"/>
                <w:kern w:val="0"/>
                <w:sz w:val="21"/>
                <w:szCs w:val="21"/>
              </w:rPr>
              <w:t>2</w:t>
            </w:r>
            <w:r>
              <w:rPr>
                <w:rFonts w:hint="eastAsia" w:ascii="仿宋_GB2312" w:hAnsi="Times New Roman" w:cs="Times New Roman"/>
                <w:color w:val="000000"/>
                <w:kern w:val="0"/>
                <w:sz w:val="21"/>
                <w:szCs w:val="21"/>
              </w:rPr>
              <w:t>+（故障4小时-2个工作日内处理数/总故障数）*100%*1+（故障超过2个工作日处理数/总故障数）*100%*0</w:t>
            </w:r>
          </w:p>
        </w:tc>
        <w:tc>
          <w:tcPr>
            <w:tcW w:w="303" w:type="pct"/>
            <w:tcBorders>
              <w:top w:val="single" w:color="auto" w:sz="4" w:space="0"/>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仿宋_GB2312" w:hAnsi="Times New Roman" w:cs="Times New Roman"/>
                <w:color w:val="000000"/>
                <w:kern w:val="0"/>
                <w:sz w:val="21"/>
                <w:szCs w:val="21"/>
              </w:rPr>
            </w:pPr>
            <w:r>
              <w:rPr>
                <w:rFonts w:ascii="仿宋_GB2312" w:hAnsi="Times New Roman" w:cs="Times New Roman"/>
                <w:color w:val="000000"/>
                <w:kern w:val="0"/>
                <w:sz w:val="21"/>
                <w:szCs w:val="21"/>
              </w:rPr>
              <w:t>2.3</w:t>
            </w:r>
          </w:p>
        </w:tc>
        <w:tc>
          <w:tcPr>
            <w:tcW w:w="381" w:type="pct"/>
            <w:tcBorders>
              <w:top w:val="single" w:color="auto" w:sz="4" w:space="0"/>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仿宋_GB2312" w:hAnsi="Times New Roman" w:cs="Times New Roman"/>
                <w:color w:val="000000"/>
                <w:kern w:val="0"/>
                <w:sz w:val="21"/>
                <w:szCs w:val="21"/>
              </w:rPr>
            </w:pPr>
          </w:p>
        </w:tc>
      </w:tr>
      <w:tr>
        <w:tblPrEx>
          <w:tblCellMar>
            <w:top w:w="0" w:type="dxa"/>
            <w:left w:w="108" w:type="dxa"/>
            <w:bottom w:w="0" w:type="dxa"/>
            <w:right w:w="108" w:type="dxa"/>
          </w:tblCellMar>
        </w:tblPrEx>
        <w:trPr>
          <w:trHeight w:val="1000" w:hRule="atLeast"/>
        </w:trPr>
        <w:tc>
          <w:tcPr>
            <w:tcW w:w="250"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left"/>
              <w:rPr>
                <w:rFonts w:ascii="仿宋_GB2312" w:hAnsi="Times New Roman" w:cs="Times New Roman"/>
                <w:color w:val="000000"/>
                <w:kern w:val="0"/>
                <w:sz w:val="21"/>
                <w:szCs w:val="21"/>
              </w:rPr>
            </w:pPr>
          </w:p>
        </w:tc>
        <w:tc>
          <w:tcPr>
            <w:tcW w:w="250"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left"/>
              <w:rPr>
                <w:rFonts w:ascii="仿宋_GB2312" w:hAnsi="Times New Roman" w:cs="Times New Roman"/>
                <w:color w:val="000000"/>
                <w:kern w:val="0"/>
                <w:sz w:val="21"/>
                <w:szCs w:val="21"/>
              </w:rPr>
            </w:pPr>
          </w:p>
        </w:tc>
        <w:tc>
          <w:tcPr>
            <w:tcW w:w="250" w:type="pct"/>
            <w:tcBorders>
              <w:top w:val="single" w:color="auto" w:sz="4" w:space="0"/>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仿宋_GB2312" w:hAnsi="Times New Roman" w:cs="Times New Roman"/>
                <w:color w:val="000000"/>
                <w:kern w:val="0"/>
                <w:sz w:val="21"/>
                <w:szCs w:val="21"/>
              </w:rPr>
            </w:pPr>
            <w:r>
              <w:rPr>
                <w:rFonts w:hint="eastAsia" w:ascii="仿宋_GB2312" w:hAnsi="Times New Roman" w:cs="Times New Roman"/>
                <w:color w:val="000000"/>
                <w:kern w:val="0"/>
                <w:sz w:val="21"/>
                <w:szCs w:val="21"/>
              </w:rPr>
              <w:t>产出成本</w:t>
            </w:r>
          </w:p>
        </w:tc>
        <w:tc>
          <w:tcPr>
            <w:tcW w:w="250" w:type="pct"/>
            <w:tcBorders>
              <w:top w:val="single" w:color="auto" w:sz="4" w:space="0"/>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仿宋_GB2312" w:hAnsi="Times New Roman" w:cs="Times New Roman"/>
                <w:color w:val="000000"/>
                <w:kern w:val="0"/>
                <w:sz w:val="21"/>
                <w:szCs w:val="21"/>
              </w:rPr>
            </w:pPr>
            <w:r>
              <w:rPr>
                <w:rFonts w:ascii="仿宋_GB2312" w:hAnsi="Times New Roman" w:cs="Times New Roman"/>
                <w:color w:val="000000"/>
                <w:kern w:val="0"/>
                <w:sz w:val="21"/>
                <w:szCs w:val="21"/>
              </w:rPr>
              <w:t>6</w:t>
            </w:r>
          </w:p>
        </w:tc>
        <w:tc>
          <w:tcPr>
            <w:tcW w:w="443" w:type="pct"/>
            <w:tcBorders>
              <w:top w:val="single" w:color="auto" w:sz="4" w:space="0"/>
              <w:left w:val="nil"/>
              <w:bottom w:val="single" w:color="auto" w:sz="4" w:space="0"/>
              <w:right w:val="single" w:color="auto" w:sz="4" w:space="0"/>
            </w:tcBorders>
            <w:shd w:val="clear" w:color="000000" w:fill="FFFFFF"/>
            <w:vAlign w:val="center"/>
          </w:tcPr>
          <w:p>
            <w:pPr>
              <w:widowControl/>
              <w:spacing w:line="240" w:lineRule="auto"/>
              <w:ind w:firstLine="0" w:firstLineChars="0"/>
              <w:jc w:val="center"/>
              <w:rPr>
                <w:rFonts w:ascii="仿宋_GB2312" w:hAnsi="Times New Roman" w:cs="Times New Roman"/>
                <w:color w:val="000000"/>
                <w:kern w:val="0"/>
                <w:sz w:val="21"/>
                <w:szCs w:val="21"/>
              </w:rPr>
            </w:pPr>
            <w:r>
              <w:rPr>
                <w:rFonts w:hint="eastAsia" w:ascii="仿宋_GB2312" w:hAnsi="Times New Roman" w:cs="Times New Roman"/>
                <w:color w:val="000000"/>
                <w:kern w:val="0"/>
                <w:sz w:val="21"/>
                <w:szCs w:val="21"/>
              </w:rPr>
              <w:t>支付进度达标率</w:t>
            </w:r>
          </w:p>
        </w:tc>
        <w:tc>
          <w:tcPr>
            <w:tcW w:w="266" w:type="pct"/>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Times New Roman" w:cs="Times New Roman"/>
                <w:color w:val="000000"/>
                <w:kern w:val="0"/>
                <w:sz w:val="21"/>
                <w:szCs w:val="21"/>
              </w:rPr>
            </w:pPr>
            <w:r>
              <w:rPr>
                <w:rFonts w:ascii="仿宋_GB2312" w:hAnsi="Times New Roman" w:cs="Times New Roman"/>
                <w:color w:val="000000"/>
                <w:kern w:val="0"/>
                <w:sz w:val="21"/>
                <w:szCs w:val="21"/>
              </w:rPr>
              <w:t>6</w:t>
            </w:r>
          </w:p>
        </w:tc>
        <w:tc>
          <w:tcPr>
            <w:tcW w:w="861" w:type="pct"/>
            <w:tcBorders>
              <w:top w:val="single" w:color="auto" w:sz="4" w:space="0"/>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仿宋_GB2312" w:hAnsi="Times New Roman" w:cs="Times New Roman"/>
                <w:color w:val="000000"/>
                <w:kern w:val="0"/>
                <w:sz w:val="21"/>
                <w:szCs w:val="21"/>
              </w:rPr>
            </w:pPr>
            <w:r>
              <w:rPr>
                <w:rFonts w:hint="eastAsia" w:ascii="仿宋_GB2312" w:hAnsi="Times New Roman" w:cs="Times New Roman"/>
                <w:color w:val="000000"/>
                <w:kern w:val="0"/>
                <w:sz w:val="21"/>
                <w:szCs w:val="21"/>
              </w:rPr>
              <w:t>考核项目资金的支出进度与相关的工作计划及合同条款的匹配程度。</w:t>
            </w:r>
          </w:p>
        </w:tc>
        <w:tc>
          <w:tcPr>
            <w:tcW w:w="1746" w:type="pct"/>
            <w:tcBorders>
              <w:top w:val="single" w:color="auto" w:sz="4" w:space="0"/>
              <w:left w:val="nil"/>
              <w:bottom w:val="single" w:color="auto" w:sz="4" w:space="0"/>
              <w:right w:val="single" w:color="auto" w:sz="4" w:space="0"/>
            </w:tcBorders>
            <w:shd w:val="clear" w:color="auto" w:fill="auto"/>
            <w:vAlign w:val="center"/>
          </w:tcPr>
          <w:p>
            <w:pPr>
              <w:pStyle w:val="25"/>
              <w:widowControl/>
              <w:numPr>
                <w:ilvl w:val="0"/>
                <w:numId w:val="2"/>
              </w:numPr>
              <w:spacing w:line="240" w:lineRule="auto"/>
              <w:ind w:firstLineChars="0"/>
              <w:jc w:val="left"/>
              <w:rPr>
                <w:rFonts w:ascii="仿宋_GB2312" w:hAnsi="Times New Roman" w:cs="Times New Roman"/>
                <w:color w:val="000000"/>
                <w:kern w:val="0"/>
                <w:sz w:val="21"/>
                <w:szCs w:val="21"/>
              </w:rPr>
            </w:pPr>
            <w:r>
              <w:rPr>
                <w:rFonts w:hint="eastAsia" w:ascii="仿宋_GB2312" w:hAnsi="Times New Roman" w:cs="Times New Roman"/>
                <w:color w:val="000000"/>
                <w:kern w:val="0"/>
                <w:sz w:val="21"/>
                <w:szCs w:val="21"/>
              </w:rPr>
              <w:t>项目支出进度符合项目合同及工作计划安排，得</w:t>
            </w:r>
            <w:r>
              <w:rPr>
                <w:rFonts w:ascii="仿宋_GB2312" w:hAnsi="Times New Roman" w:cs="Times New Roman"/>
                <w:color w:val="000000"/>
                <w:kern w:val="0"/>
                <w:sz w:val="21"/>
                <w:szCs w:val="21"/>
              </w:rPr>
              <w:t>3</w:t>
            </w:r>
            <w:r>
              <w:rPr>
                <w:rFonts w:hint="eastAsia" w:ascii="仿宋_GB2312" w:hAnsi="Times New Roman" w:cs="Times New Roman"/>
                <w:color w:val="000000"/>
                <w:kern w:val="0"/>
                <w:sz w:val="21"/>
                <w:szCs w:val="21"/>
              </w:rPr>
              <w:t>分。</w:t>
            </w:r>
            <w:r>
              <w:rPr>
                <w:rFonts w:ascii="仿宋_GB2312" w:hAnsi="Times New Roman" w:cs="Times New Roman"/>
                <w:color w:val="000000"/>
                <w:kern w:val="0"/>
                <w:sz w:val="21"/>
                <w:szCs w:val="21"/>
              </w:rPr>
              <w:br w:type="textWrapping"/>
            </w:r>
            <w:r>
              <w:rPr>
                <w:rFonts w:hint="eastAsia" w:ascii="仿宋_GB2312" w:hAnsi="Times New Roman" w:cs="Times New Roman"/>
                <w:color w:val="000000"/>
                <w:kern w:val="0"/>
                <w:sz w:val="21"/>
                <w:szCs w:val="21"/>
              </w:rPr>
              <w:t>②项目资金支付时间符合财务管理制度及项目合同要求，得</w:t>
            </w:r>
            <w:r>
              <w:rPr>
                <w:rFonts w:ascii="仿宋_GB2312" w:hAnsi="Times New Roman" w:cs="Times New Roman"/>
                <w:color w:val="000000"/>
                <w:kern w:val="0"/>
                <w:sz w:val="21"/>
                <w:szCs w:val="21"/>
              </w:rPr>
              <w:t>3</w:t>
            </w:r>
            <w:r>
              <w:rPr>
                <w:rFonts w:hint="eastAsia" w:ascii="仿宋_GB2312" w:hAnsi="Times New Roman" w:cs="Times New Roman"/>
                <w:color w:val="000000"/>
                <w:kern w:val="0"/>
                <w:sz w:val="21"/>
                <w:szCs w:val="21"/>
              </w:rPr>
              <w:t>分。</w:t>
            </w:r>
            <w:r>
              <w:rPr>
                <w:rFonts w:ascii="仿宋_GB2312" w:hAnsi="Times New Roman" w:cs="Times New Roman"/>
                <w:color w:val="000000"/>
                <w:kern w:val="0"/>
                <w:sz w:val="21"/>
                <w:szCs w:val="21"/>
              </w:rPr>
              <w:br w:type="textWrapping"/>
            </w:r>
            <w:r>
              <w:rPr>
                <w:rFonts w:hint="eastAsia" w:ascii="仿宋_GB2312" w:hAnsi="Times New Roman" w:cs="Times New Roman"/>
                <w:color w:val="000000"/>
                <w:kern w:val="0"/>
                <w:sz w:val="21"/>
                <w:szCs w:val="21"/>
              </w:rPr>
              <w:t>③超计划或合同要求支付本指标得0分。</w:t>
            </w:r>
          </w:p>
        </w:tc>
        <w:tc>
          <w:tcPr>
            <w:tcW w:w="303" w:type="pct"/>
            <w:tcBorders>
              <w:top w:val="single" w:color="auto" w:sz="4" w:space="0"/>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仿宋_GB2312" w:hAnsi="Times New Roman" w:cs="Times New Roman"/>
                <w:color w:val="000000"/>
                <w:kern w:val="0"/>
                <w:sz w:val="21"/>
                <w:szCs w:val="21"/>
              </w:rPr>
            </w:pPr>
            <w:r>
              <w:rPr>
                <w:rFonts w:ascii="仿宋_GB2312" w:hAnsi="Times New Roman" w:cs="Times New Roman"/>
                <w:color w:val="000000"/>
                <w:kern w:val="0"/>
                <w:sz w:val="21"/>
                <w:szCs w:val="21"/>
              </w:rPr>
              <w:t>5</w:t>
            </w:r>
          </w:p>
        </w:tc>
        <w:tc>
          <w:tcPr>
            <w:tcW w:w="381" w:type="pct"/>
            <w:tcBorders>
              <w:top w:val="single" w:color="auto" w:sz="4" w:space="0"/>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仿宋_GB2312" w:hAnsi="Times New Roman" w:cs="Times New Roman"/>
                <w:color w:val="000000"/>
                <w:kern w:val="0"/>
                <w:sz w:val="21"/>
                <w:szCs w:val="21"/>
              </w:rPr>
            </w:pPr>
            <w:r>
              <w:rPr>
                <w:rFonts w:hint="eastAsia" w:ascii="仿宋_GB2312" w:hAnsi="Times New Roman" w:cs="Times New Roman"/>
                <w:color w:val="000000"/>
                <w:kern w:val="0"/>
                <w:sz w:val="21"/>
                <w:szCs w:val="21"/>
              </w:rPr>
              <w:t>　</w:t>
            </w:r>
          </w:p>
        </w:tc>
      </w:tr>
      <w:tr>
        <w:tblPrEx>
          <w:tblCellMar>
            <w:top w:w="0" w:type="dxa"/>
            <w:left w:w="108" w:type="dxa"/>
            <w:bottom w:w="0" w:type="dxa"/>
            <w:right w:w="108" w:type="dxa"/>
          </w:tblCellMar>
        </w:tblPrEx>
        <w:trPr>
          <w:trHeight w:val="1000" w:hRule="atLeast"/>
        </w:trPr>
        <w:tc>
          <w:tcPr>
            <w:tcW w:w="250"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仿宋_GB2312" w:hAnsi="Times New Roman" w:cs="Times New Roman"/>
                <w:color w:val="000000"/>
                <w:kern w:val="0"/>
                <w:sz w:val="21"/>
                <w:szCs w:val="21"/>
              </w:rPr>
            </w:pPr>
            <w:r>
              <w:rPr>
                <w:rFonts w:hint="eastAsia" w:ascii="仿宋_GB2312" w:hAnsi="Times New Roman" w:cs="Times New Roman"/>
                <w:color w:val="000000"/>
                <w:kern w:val="0"/>
                <w:sz w:val="21"/>
                <w:szCs w:val="21"/>
              </w:rPr>
              <w:t>项目效益</w:t>
            </w:r>
          </w:p>
        </w:tc>
        <w:tc>
          <w:tcPr>
            <w:tcW w:w="250"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仿宋_GB2312" w:hAnsi="Times New Roman" w:cs="Times New Roman"/>
                <w:color w:val="000000"/>
                <w:kern w:val="0"/>
                <w:sz w:val="21"/>
                <w:szCs w:val="21"/>
              </w:rPr>
            </w:pPr>
            <w:r>
              <w:rPr>
                <w:rFonts w:ascii="仿宋_GB2312" w:hAnsi="Times New Roman" w:cs="Times New Roman"/>
                <w:color w:val="000000"/>
                <w:kern w:val="0"/>
                <w:sz w:val="21"/>
                <w:szCs w:val="21"/>
              </w:rPr>
              <w:t>25</w:t>
            </w:r>
          </w:p>
        </w:tc>
        <w:tc>
          <w:tcPr>
            <w:tcW w:w="250"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仿宋_GB2312" w:hAnsi="Times New Roman" w:cs="Times New Roman"/>
                <w:color w:val="000000"/>
                <w:kern w:val="0"/>
                <w:sz w:val="21"/>
                <w:szCs w:val="21"/>
              </w:rPr>
            </w:pPr>
            <w:r>
              <w:rPr>
                <w:rFonts w:hint="eastAsia" w:ascii="仿宋_GB2312" w:hAnsi="Times New Roman" w:cs="Times New Roman"/>
                <w:color w:val="000000"/>
                <w:kern w:val="0"/>
                <w:sz w:val="21"/>
                <w:szCs w:val="21"/>
              </w:rPr>
              <w:t>社会效益</w:t>
            </w:r>
          </w:p>
        </w:tc>
        <w:tc>
          <w:tcPr>
            <w:tcW w:w="250"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仿宋_GB2312" w:hAnsi="Times New Roman" w:cs="Times New Roman"/>
                <w:color w:val="000000"/>
                <w:kern w:val="0"/>
                <w:sz w:val="21"/>
                <w:szCs w:val="21"/>
              </w:rPr>
            </w:pPr>
            <w:r>
              <w:rPr>
                <w:rFonts w:ascii="仿宋_GB2312" w:hAnsi="Times New Roman" w:cs="Times New Roman"/>
                <w:color w:val="000000"/>
                <w:kern w:val="0"/>
                <w:sz w:val="21"/>
                <w:szCs w:val="21"/>
              </w:rPr>
              <w:t>15</w:t>
            </w:r>
          </w:p>
        </w:tc>
        <w:tc>
          <w:tcPr>
            <w:tcW w:w="443" w:type="pct"/>
            <w:tcBorders>
              <w:top w:val="single" w:color="auto" w:sz="4" w:space="0"/>
              <w:left w:val="nil"/>
              <w:bottom w:val="single" w:color="auto" w:sz="4" w:space="0"/>
              <w:right w:val="single" w:color="auto" w:sz="4" w:space="0"/>
            </w:tcBorders>
            <w:shd w:val="clear" w:color="000000" w:fill="FFFFFF"/>
            <w:vAlign w:val="center"/>
          </w:tcPr>
          <w:p>
            <w:pPr>
              <w:widowControl/>
              <w:spacing w:line="240" w:lineRule="auto"/>
              <w:ind w:firstLine="0" w:firstLineChars="0"/>
              <w:jc w:val="left"/>
              <w:rPr>
                <w:rFonts w:ascii="仿宋_GB2312" w:hAnsi="Times New Roman" w:cs="Times New Roman"/>
                <w:color w:val="000000"/>
                <w:kern w:val="0"/>
                <w:sz w:val="21"/>
                <w:szCs w:val="21"/>
              </w:rPr>
            </w:pPr>
            <w:r>
              <w:rPr>
                <w:rFonts w:hint="eastAsia" w:ascii="仿宋_GB2312" w:hAnsi="Times New Roman" w:cs="Times New Roman"/>
                <w:color w:val="000000"/>
                <w:kern w:val="0"/>
                <w:sz w:val="21"/>
                <w:szCs w:val="21"/>
              </w:rPr>
              <w:t>全区集中核算单位系统覆盖率</w:t>
            </w:r>
          </w:p>
        </w:tc>
        <w:tc>
          <w:tcPr>
            <w:tcW w:w="266" w:type="pct"/>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Times New Roman" w:cs="Times New Roman"/>
                <w:color w:val="000000"/>
                <w:kern w:val="0"/>
                <w:sz w:val="21"/>
                <w:szCs w:val="21"/>
              </w:rPr>
            </w:pPr>
            <w:r>
              <w:rPr>
                <w:rFonts w:ascii="仿宋_GB2312" w:hAnsi="Times New Roman" w:cs="Times New Roman"/>
                <w:color w:val="000000"/>
                <w:kern w:val="0"/>
                <w:sz w:val="21"/>
                <w:szCs w:val="21"/>
              </w:rPr>
              <w:t>7</w:t>
            </w:r>
          </w:p>
        </w:tc>
        <w:tc>
          <w:tcPr>
            <w:tcW w:w="861" w:type="pct"/>
            <w:tcBorders>
              <w:top w:val="single" w:color="auto" w:sz="4" w:space="0"/>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仿宋_GB2312" w:hAnsi="Times New Roman" w:cs="Times New Roman"/>
                <w:color w:val="000000"/>
                <w:kern w:val="0"/>
                <w:sz w:val="21"/>
                <w:szCs w:val="21"/>
              </w:rPr>
            </w:pPr>
            <w:r>
              <w:rPr>
                <w:rFonts w:hint="eastAsia" w:ascii="仿宋_GB2312" w:hAnsi="Times New Roman" w:cs="Times New Roman"/>
                <w:color w:val="000000"/>
                <w:kern w:val="0"/>
                <w:sz w:val="21"/>
                <w:szCs w:val="21"/>
              </w:rPr>
              <w:t>考核本财务信息系统覆盖全区集中核算单位情况。</w:t>
            </w:r>
          </w:p>
        </w:tc>
        <w:tc>
          <w:tcPr>
            <w:tcW w:w="1746" w:type="pct"/>
            <w:tcBorders>
              <w:top w:val="single" w:color="auto" w:sz="4" w:space="0"/>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仿宋_GB2312" w:hAnsi="Times New Roman" w:cs="Times New Roman"/>
                <w:color w:val="000000"/>
                <w:kern w:val="0"/>
                <w:sz w:val="21"/>
                <w:szCs w:val="21"/>
              </w:rPr>
            </w:pPr>
            <w:r>
              <w:rPr>
                <w:rFonts w:hint="eastAsia" w:ascii="仿宋_GB2312" w:hAnsi="Times New Roman" w:cs="Times New Roman"/>
                <w:color w:val="000000"/>
                <w:kern w:val="0"/>
                <w:sz w:val="21"/>
                <w:szCs w:val="21"/>
              </w:rPr>
              <w:t>本指标得分=全区集中核算单位系统覆盖率*</w:t>
            </w:r>
            <w:r>
              <w:rPr>
                <w:rFonts w:ascii="仿宋_GB2312" w:hAnsi="Times New Roman" w:cs="Times New Roman"/>
                <w:color w:val="000000"/>
                <w:kern w:val="0"/>
                <w:sz w:val="21"/>
                <w:szCs w:val="21"/>
              </w:rPr>
              <w:t>7</w:t>
            </w:r>
          </w:p>
        </w:tc>
        <w:tc>
          <w:tcPr>
            <w:tcW w:w="303" w:type="pct"/>
            <w:tcBorders>
              <w:top w:val="single" w:color="auto" w:sz="4" w:space="0"/>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仿宋_GB2312" w:hAnsi="Times New Roman" w:cs="Times New Roman"/>
                <w:color w:val="000000"/>
                <w:kern w:val="0"/>
                <w:sz w:val="21"/>
                <w:szCs w:val="21"/>
              </w:rPr>
            </w:pPr>
            <w:r>
              <w:rPr>
                <w:rFonts w:ascii="仿宋_GB2312" w:hAnsi="Times New Roman" w:cs="Times New Roman"/>
                <w:color w:val="000000"/>
                <w:kern w:val="0"/>
                <w:sz w:val="21"/>
                <w:szCs w:val="21"/>
              </w:rPr>
              <w:t>7</w:t>
            </w:r>
          </w:p>
        </w:tc>
        <w:tc>
          <w:tcPr>
            <w:tcW w:w="381" w:type="pct"/>
            <w:tcBorders>
              <w:top w:val="single" w:color="auto" w:sz="4" w:space="0"/>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仿宋_GB2312" w:hAnsi="Times New Roman" w:cs="Times New Roman"/>
                <w:color w:val="000000"/>
                <w:kern w:val="0"/>
                <w:sz w:val="21"/>
                <w:szCs w:val="21"/>
              </w:rPr>
            </w:pPr>
            <w:r>
              <w:rPr>
                <w:rFonts w:hint="eastAsia" w:ascii="仿宋_GB2312" w:hAnsi="Times New Roman" w:cs="Times New Roman"/>
                <w:color w:val="000000"/>
                <w:kern w:val="0"/>
                <w:sz w:val="21"/>
                <w:szCs w:val="21"/>
              </w:rPr>
              <w:t>　</w:t>
            </w:r>
          </w:p>
        </w:tc>
      </w:tr>
      <w:tr>
        <w:tblPrEx>
          <w:tblCellMar>
            <w:top w:w="0" w:type="dxa"/>
            <w:left w:w="108" w:type="dxa"/>
            <w:bottom w:w="0" w:type="dxa"/>
            <w:right w:w="108" w:type="dxa"/>
          </w:tblCellMar>
        </w:tblPrEx>
        <w:trPr>
          <w:trHeight w:val="1000" w:hRule="atLeast"/>
        </w:trPr>
        <w:tc>
          <w:tcPr>
            <w:tcW w:w="250"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left"/>
              <w:rPr>
                <w:rFonts w:ascii="仿宋_GB2312" w:hAnsi="Times New Roman" w:cs="Times New Roman"/>
                <w:color w:val="000000"/>
                <w:kern w:val="0"/>
                <w:sz w:val="21"/>
                <w:szCs w:val="21"/>
              </w:rPr>
            </w:pPr>
          </w:p>
        </w:tc>
        <w:tc>
          <w:tcPr>
            <w:tcW w:w="250"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left"/>
              <w:rPr>
                <w:rFonts w:ascii="仿宋_GB2312" w:hAnsi="Times New Roman" w:cs="Times New Roman"/>
                <w:color w:val="000000"/>
                <w:kern w:val="0"/>
                <w:sz w:val="21"/>
                <w:szCs w:val="21"/>
              </w:rPr>
            </w:pPr>
          </w:p>
        </w:tc>
        <w:tc>
          <w:tcPr>
            <w:tcW w:w="250"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left"/>
              <w:rPr>
                <w:rFonts w:ascii="仿宋_GB2312" w:hAnsi="Times New Roman" w:cs="Times New Roman"/>
                <w:color w:val="000000"/>
                <w:kern w:val="0"/>
                <w:sz w:val="21"/>
                <w:szCs w:val="21"/>
              </w:rPr>
            </w:pPr>
          </w:p>
        </w:tc>
        <w:tc>
          <w:tcPr>
            <w:tcW w:w="250"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left"/>
              <w:rPr>
                <w:rFonts w:ascii="仿宋_GB2312" w:hAnsi="Times New Roman" w:cs="Times New Roman"/>
                <w:color w:val="000000"/>
                <w:kern w:val="0"/>
                <w:sz w:val="21"/>
                <w:szCs w:val="21"/>
              </w:rPr>
            </w:pPr>
          </w:p>
        </w:tc>
        <w:tc>
          <w:tcPr>
            <w:tcW w:w="443" w:type="pct"/>
            <w:tcBorders>
              <w:top w:val="single" w:color="auto" w:sz="4" w:space="0"/>
              <w:left w:val="nil"/>
              <w:bottom w:val="single" w:color="auto" w:sz="4" w:space="0"/>
              <w:right w:val="single" w:color="auto" w:sz="4" w:space="0"/>
            </w:tcBorders>
            <w:shd w:val="clear" w:color="000000" w:fill="FFFFFF"/>
            <w:vAlign w:val="center"/>
          </w:tcPr>
          <w:p>
            <w:pPr>
              <w:widowControl/>
              <w:spacing w:line="240" w:lineRule="auto"/>
              <w:ind w:firstLine="0" w:firstLineChars="0"/>
              <w:jc w:val="center"/>
              <w:rPr>
                <w:rFonts w:ascii="仿宋_GB2312" w:hAnsi="Times New Roman" w:cs="Times New Roman"/>
                <w:color w:val="000000"/>
                <w:kern w:val="0"/>
                <w:sz w:val="21"/>
                <w:szCs w:val="21"/>
              </w:rPr>
            </w:pPr>
            <w:r>
              <w:rPr>
                <w:rFonts w:hint="eastAsia" w:ascii="仿宋_GB2312" w:hAnsi="Times New Roman" w:cs="Times New Roman"/>
                <w:color w:val="000000"/>
                <w:kern w:val="0"/>
                <w:sz w:val="21"/>
                <w:szCs w:val="21"/>
              </w:rPr>
              <w:t>系统运维保障各项工作正常运转率</w:t>
            </w:r>
          </w:p>
        </w:tc>
        <w:tc>
          <w:tcPr>
            <w:tcW w:w="266" w:type="pct"/>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Times New Roman" w:cs="Times New Roman"/>
                <w:color w:val="000000"/>
                <w:kern w:val="0"/>
                <w:sz w:val="21"/>
                <w:szCs w:val="21"/>
              </w:rPr>
            </w:pPr>
            <w:r>
              <w:rPr>
                <w:rFonts w:ascii="仿宋_GB2312" w:hAnsi="Times New Roman" w:cs="Times New Roman"/>
                <w:color w:val="000000"/>
                <w:kern w:val="0"/>
                <w:sz w:val="21"/>
                <w:szCs w:val="21"/>
              </w:rPr>
              <w:t>8</w:t>
            </w:r>
          </w:p>
        </w:tc>
        <w:tc>
          <w:tcPr>
            <w:tcW w:w="861" w:type="pct"/>
            <w:tcBorders>
              <w:top w:val="single" w:color="auto" w:sz="4" w:space="0"/>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仿宋_GB2312" w:hAnsi="Times New Roman" w:cs="Times New Roman"/>
                <w:color w:val="000000"/>
                <w:kern w:val="0"/>
                <w:sz w:val="21"/>
                <w:szCs w:val="21"/>
              </w:rPr>
            </w:pPr>
            <w:r>
              <w:rPr>
                <w:rFonts w:hint="eastAsia" w:ascii="仿宋_GB2312" w:hAnsi="Times New Roman" w:cs="Times New Roman"/>
                <w:color w:val="000000"/>
                <w:kern w:val="0"/>
                <w:sz w:val="21"/>
                <w:szCs w:val="21"/>
              </w:rPr>
              <w:t>考核本信息系统维护工作对系统内操作的各项工作正常运转的保障情况。</w:t>
            </w:r>
          </w:p>
        </w:tc>
        <w:tc>
          <w:tcPr>
            <w:tcW w:w="1746" w:type="pct"/>
            <w:tcBorders>
              <w:top w:val="single" w:color="auto" w:sz="4" w:space="0"/>
              <w:left w:val="nil"/>
              <w:bottom w:val="single" w:color="auto" w:sz="4" w:space="0"/>
              <w:right w:val="single" w:color="auto" w:sz="4" w:space="0"/>
            </w:tcBorders>
            <w:shd w:val="clear" w:color="auto" w:fill="auto"/>
            <w:vAlign w:val="center"/>
          </w:tcPr>
          <w:p>
            <w:pPr>
              <w:widowControl/>
              <w:spacing w:line="240" w:lineRule="auto"/>
              <w:ind w:firstLine="0" w:firstLineChars="0"/>
              <w:rPr>
                <w:rFonts w:ascii="仿宋_GB2312" w:hAnsi="Times New Roman" w:cs="Times New Roman"/>
                <w:color w:val="000000"/>
                <w:kern w:val="0"/>
                <w:sz w:val="21"/>
                <w:szCs w:val="21"/>
              </w:rPr>
            </w:pPr>
            <w:r>
              <w:rPr>
                <w:rFonts w:hint="eastAsia" w:ascii="仿宋_GB2312" w:hAnsi="Times New Roman" w:cs="Times New Roman"/>
                <w:color w:val="000000"/>
                <w:kern w:val="0"/>
                <w:sz w:val="21"/>
                <w:szCs w:val="21"/>
              </w:rPr>
              <w:t>本指标得分=系统运维保障各项工作正常运转率*</w:t>
            </w:r>
            <w:r>
              <w:rPr>
                <w:rFonts w:ascii="仿宋_GB2312" w:hAnsi="Times New Roman" w:cs="Times New Roman"/>
                <w:color w:val="000000"/>
                <w:kern w:val="0"/>
                <w:sz w:val="21"/>
                <w:szCs w:val="21"/>
              </w:rPr>
              <w:t>8</w:t>
            </w:r>
          </w:p>
        </w:tc>
        <w:tc>
          <w:tcPr>
            <w:tcW w:w="303" w:type="pct"/>
            <w:tcBorders>
              <w:top w:val="single" w:color="auto" w:sz="4" w:space="0"/>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仿宋_GB2312" w:hAnsi="Times New Roman" w:cs="Times New Roman"/>
                <w:color w:val="000000"/>
                <w:kern w:val="0"/>
                <w:sz w:val="21"/>
                <w:szCs w:val="21"/>
              </w:rPr>
            </w:pPr>
            <w:r>
              <w:rPr>
                <w:rFonts w:ascii="仿宋_GB2312" w:hAnsi="Times New Roman" w:cs="Times New Roman"/>
                <w:color w:val="000000"/>
                <w:kern w:val="0"/>
                <w:sz w:val="21"/>
                <w:szCs w:val="21"/>
              </w:rPr>
              <w:t>8</w:t>
            </w:r>
          </w:p>
        </w:tc>
        <w:tc>
          <w:tcPr>
            <w:tcW w:w="381" w:type="pct"/>
            <w:tcBorders>
              <w:top w:val="single" w:color="auto" w:sz="4" w:space="0"/>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仿宋_GB2312" w:hAnsi="Times New Roman" w:cs="Times New Roman"/>
                <w:color w:val="000000"/>
                <w:kern w:val="0"/>
                <w:sz w:val="21"/>
                <w:szCs w:val="21"/>
              </w:rPr>
            </w:pPr>
            <w:r>
              <w:rPr>
                <w:rFonts w:hint="eastAsia" w:ascii="仿宋_GB2312" w:hAnsi="Times New Roman" w:cs="Times New Roman"/>
                <w:color w:val="000000"/>
                <w:kern w:val="0"/>
                <w:sz w:val="21"/>
                <w:szCs w:val="21"/>
              </w:rPr>
              <w:t>　</w:t>
            </w:r>
          </w:p>
        </w:tc>
      </w:tr>
      <w:tr>
        <w:tblPrEx>
          <w:tblCellMar>
            <w:top w:w="0" w:type="dxa"/>
            <w:left w:w="108" w:type="dxa"/>
            <w:bottom w:w="0" w:type="dxa"/>
            <w:right w:w="108" w:type="dxa"/>
          </w:tblCellMar>
        </w:tblPrEx>
        <w:trPr>
          <w:trHeight w:val="1170" w:hRule="atLeast"/>
        </w:trPr>
        <w:tc>
          <w:tcPr>
            <w:tcW w:w="250"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left"/>
              <w:rPr>
                <w:rFonts w:ascii="仿宋_GB2312" w:hAnsi="Times New Roman" w:cs="Times New Roman"/>
                <w:color w:val="000000"/>
                <w:kern w:val="0"/>
                <w:sz w:val="21"/>
                <w:szCs w:val="21"/>
              </w:rPr>
            </w:pPr>
          </w:p>
        </w:tc>
        <w:tc>
          <w:tcPr>
            <w:tcW w:w="250"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left"/>
              <w:rPr>
                <w:rFonts w:ascii="仿宋_GB2312" w:hAnsi="Times New Roman" w:cs="Times New Roman"/>
                <w:color w:val="000000"/>
                <w:kern w:val="0"/>
                <w:sz w:val="21"/>
                <w:szCs w:val="21"/>
              </w:rPr>
            </w:pPr>
          </w:p>
        </w:tc>
        <w:tc>
          <w:tcPr>
            <w:tcW w:w="250" w:type="pct"/>
            <w:tcBorders>
              <w:top w:val="single" w:color="auto" w:sz="4" w:space="0"/>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仿宋_GB2312" w:hAnsi="Times New Roman" w:cs="Times New Roman"/>
                <w:color w:val="000000"/>
                <w:kern w:val="0"/>
                <w:sz w:val="21"/>
                <w:szCs w:val="21"/>
              </w:rPr>
            </w:pPr>
            <w:r>
              <w:rPr>
                <w:rFonts w:hint="eastAsia" w:ascii="仿宋_GB2312" w:hAnsi="Times New Roman" w:cs="Times New Roman"/>
                <w:color w:val="000000"/>
                <w:kern w:val="0"/>
                <w:sz w:val="21"/>
                <w:szCs w:val="21"/>
              </w:rPr>
              <w:t>满意度</w:t>
            </w:r>
          </w:p>
        </w:tc>
        <w:tc>
          <w:tcPr>
            <w:tcW w:w="250" w:type="pct"/>
            <w:tcBorders>
              <w:top w:val="single" w:color="auto" w:sz="4" w:space="0"/>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仿宋_GB2312" w:hAnsi="Times New Roman" w:cs="Times New Roman"/>
                <w:color w:val="000000"/>
                <w:kern w:val="0"/>
                <w:sz w:val="21"/>
                <w:szCs w:val="21"/>
              </w:rPr>
            </w:pPr>
            <w:r>
              <w:rPr>
                <w:rFonts w:ascii="仿宋_GB2312" w:hAnsi="Times New Roman" w:cs="Times New Roman"/>
                <w:color w:val="000000"/>
                <w:kern w:val="0"/>
                <w:sz w:val="21"/>
                <w:szCs w:val="21"/>
              </w:rPr>
              <w:t>10</w:t>
            </w:r>
          </w:p>
        </w:tc>
        <w:tc>
          <w:tcPr>
            <w:tcW w:w="443" w:type="pct"/>
            <w:tcBorders>
              <w:top w:val="single" w:color="auto" w:sz="4" w:space="0"/>
              <w:left w:val="nil"/>
              <w:bottom w:val="single" w:color="auto" w:sz="4" w:space="0"/>
              <w:right w:val="single" w:color="auto" w:sz="4" w:space="0"/>
            </w:tcBorders>
            <w:shd w:val="clear" w:color="000000" w:fill="FFFFFF"/>
            <w:vAlign w:val="center"/>
          </w:tcPr>
          <w:p>
            <w:pPr>
              <w:widowControl/>
              <w:spacing w:line="240" w:lineRule="auto"/>
              <w:ind w:firstLine="0" w:firstLineChars="0"/>
              <w:jc w:val="center"/>
              <w:rPr>
                <w:rFonts w:ascii="仿宋_GB2312" w:hAnsi="Times New Roman" w:cs="Times New Roman"/>
                <w:color w:val="000000"/>
                <w:kern w:val="0"/>
                <w:sz w:val="21"/>
                <w:szCs w:val="21"/>
              </w:rPr>
            </w:pPr>
            <w:r>
              <w:rPr>
                <w:rFonts w:hint="eastAsia" w:ascii="仿宋_GB2312" w:hAnsi="Times New Roman" w:cs="Times New Roman"/>
                <w:color w:val="000000"/>
                <w:kern w:val="0"/>
                <w:sz w:val="21"/>
                <w:szCs w:val="21"/>
              </w:rPr>
              <w:t>系统使用人员满意度</w:t>
            </w:r>
          </w:p>
        </w:tc>
        <w:tc>
          <w:tcPr>
            <w:tcW w:w="266" w:type="pct"/>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Times New Roman" w:cs="Times New Roman"/>
                <w:color w:val="000000"/>
                <w:kern w:val="0"/>
                <w:sz w:val="21"/>
                <w:szCs w:val="21"/>
              </w:rPr>
            </w:pPr>
            <w:r>
              <w:rPr>
                <w:rFonts w:ascii="仿宋_GB2312" w:hAnsi="Times New Roman" w:cs="Times New Roman"/>
                <w:color w:val="000000"/>
                <w:kern w:val="0"/>
                <w:sz w:val="21"/>
                <w:szCs w:val="21"/>
              </w:rPr>
              <w:t>10</w:t>
            </w:r>
          </w:p>
        </w:tc>
        <w:tc>
          <w:tcPr>
            <w:tcW w:w="861" w:type="pct"/>
            <w:tcBorders>
              <w:top w:val="single" w:color="auto" w:sz="4" w:space="0"/>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仿宋_GB2312" w:hAnsi="Times New Roman" w:cs="Times New Roman"/>
                <w:color w:val="000000"/>
                <w:kern w:val="0"/>
                <w:sz w:val="21"/>
                <w:szCs w:val="21"/>
              </w:rPr>
            </w:pPr>
            <w:r>
              <w:rPr>
                <w:rFonts w:hint="eastAsia" w:ascii="仿宋_GB2312" w:hAnsi="Times New Roman" w:cs="Times New Roman"/>
                <w:color w:val="000000"/>
                <w:kern w:val="0"/>
                <w:sz w:val="21"/>
                <w:szCs w:val="21"/>
              </w:rPr>
              <w:t>考核信息系统的使用人员对系统使用的满意度情况。</w:t>
            </w:r>
          </w:p>
        </w:tc>
        <w:tc>
          <w:tcPr>
            <w:tcW w:w="1746" w:type="pct"/>
            <w:tcBorders>
              <w:top w:val="single" w:color="auto" w:sz="4" w:space="0"/>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仿宋_GB2312" w:hAnsi="Times New Roman" w:cs="Times New Roman"/>
                <w:color w:val="000000"/>
                <w:kern w:val="0"/>
                <w:sz w:val="21"/>
                <w:szCs w:val="21"/>
              </w:rPr>
            </w:pPr>
            <w:r>
              <w:rPr>
                <w:rFonts w:hint="eastAsia" w:ascii="仿宋_GB2312" w:hAnsi="Times New Roman" w:cs="Times New Roman"/>
                <w:color w:val="000000"/>
                <w:kern w:val="0"/>
                <w:sz w:val="21"/>
                <w:szCs w:val="21"/>
              </w:rPr>
              <w:t>本指标得分=系统使用人员满意率*10</w:t>
            </w:r>
          </w:p>
        </w:tc>
        <w:tc>
          <w:tcPr>
            <w:tcW w:w="303" w:type="pct"/>
            <w:tcBorders>
              <w:top w:val="single" w:color="auto" w:sz="4" w:space="0"/>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仿宋_GB2312" w:hAnsi="Times New Roman" w:cs="Times New Roman"/>
                <w:color w:val="000000"/>
                <w:kern w:val="0"/>
                <w:sz w:val="21"/>
                <w:szCs w:val="21"/>
              </w:rPr>
            </w:pPr>
            <w:r>
              <w:rPr>
                <w:rFonts w:ascii="仿宋_GB2312" w:hAnsi="Times New Roman" w:cs="Times New Roman"/>
                <w:color w:val="000000"/>
                <w:kern w:val="0"/>
                <w:sz w:val="21"/>
                <w:szCs w:val="21"/>
              </w:rPr>
              <w:t>9.15</w:t>
            </w:r>
          </w:p>
        </w:tc>
        <w:tc>
          <w:tcPr>
            <w:tcW w:w="381" w:type="pct"/>
            <w:tcBorders>
              <w:top w:val="single" w:color="auto" w:sz="4" w:space="0"/>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仿宋_GB2312" w:hAnsi="Times New Roman" w:cs="Times New Roman"/>
                <w:color w:val="000000"/>
                <w:kern w:val="0"/>
                <w:sz w:val="21"/>
                <w:szCs w:val="21"/>
              </w:rPr>
            </w:pPr>
          </w:p>
        </w:tc>
      </w:tr>
      <w:tr>
        <w:tblPrEx>
          <w:tblCellMar>
            <w:top w:w="0" w:type="dxa"/>
            <w:left w:w="108" w:type="dxa"/>
            <w:bottom w:w="0" w:type="dxa"/>
            <w:right w:w="108" w:type="dxa"/>
          </w:tblCellMar>
        </w:tblPrEx>
        <w:trPr>
          <w:trHeight w:val="368" w:hRule="atLeast"/>
        </w:trPr>
        <w:tc>
          <w:tcPr>
            <w:tcW w:w="250"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等线" w:cs="宋体"/>
                <w:color w:val="000000"/>
                <w:kern w:val="0"/>
                <w:sz w:val="21"/>
                <w:szCs w:val="21"/>
              </w:rPr>
            </w:pPr>
            <w:r>
              <w:rPr>
                <w:rFonts w:hint="eastAsia" w:ascii="仿宋_GB2312" w:hAnsi="等线" w:cs="宋体"/>
                <w:color w:val="000000"/>
                <w:kern w:val="0"/>
                <w:sz w:val="21"/>
                <w:szCs w:val="21"/>
              </w:rPr>
              <w:t>总分</w:t>
            </w:r>
          </w:p>
        </w:tc>
        <w:tc>
          <w:tcPr>
            <w:tcW w:w="250" w:type="pct"/>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等线" w:cs="宋体"/>
                <w:color w:val="000000"/>
                <w:kern w:val="0"/>
                <w:sz w:val="21"/>
                <w:szCs w:val="21"/>
              </w:rPr>
            </w:pPr>
            <w:r>
              <w:rPr>
                <w:rFonts w:ascii="仿宋_GB2312" w:hAnsi="等线" w:cs="宋体"/>
                <w:color w:val="000000"/>
                <w:kern w:val="0"/>
                <w:sz w:val="21"/>
                <w:szCs w:val="21"/>
              </w:rPr>
              <w:t>100</w:t>
            </w:r>
          </w:p>
        </w:tc>
        <w:tc>
          <w:tcPr>
            <w:tcW w:w="250" w:type="pct"/>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等线" w:cs="宋体"/>
                <w:color w:val="000000"/>
                <w:kern w:val="0"/>
                <w:sz w:val="21"/>
                <w:szCs w:val="21"/>
              </w:rPr>
            </w:pPr>
            <w:r>
              <w:rPr>
                <w:rFonts w:hint="eastAsia" w:ascii="仿宋_GB2312" w:hAnsi="等线" w:cs="宋体"/>
                <w:color w:val="000000"/>
                <w:kern w:val="0"/>
                <w:sz w:val="21"/>
                <w:szCs w:val="21"/>
              </w:rPr>
              <w:t>　</w:t>
            </w:r>
          </w:p>
        </w:tc>
        <w:tc>
          <w:tcPr>
            <w:tcW w:w="250" w:type="pct"/>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等线" w:cs="宋体"/>
                <w:color w:val="000000"/>
                <w:kern w:val="0"/>
                <w:sz w:val="21"/>
                <w:szCs w:val="21"/>
              </w:rPr>
            </w:pPr>
            <w:r>
              <w:rPr>
                <w:rFonts w:ascii="仿宋_GB2312" w:hAnsi="等线" w:cs="宋体"/>
                <w:color w:val="000000"/>
                <w:kern w:val="0"/>
                <w:sz w:val="21"/>
                <w:szCs w:val="21"/>
              </w:rPr>
              <w:t>100</w:t>
            </w:r>
          </w:p>
        </w:tc>
        <w:tc>
          <w:tcPr>
            <w:tcW w:w="443" w:type="pct"/>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等线" w:cs="宋体"/>
                <w:color w:val="000000"/>
                <w:kern w:val="0"/>
                <w:sz w:val="21"/>
                <w:szCs w:val="21"/>
              </w:rPr>
            </w:pPr>
            <w:r>
              <w:rPr>
                <w:rFonts w:hint="eastAsia" w:ascii="仿宋_GB2312" w:hAnsi="等线" w:cs="宋体"/>
                <w:color w:val="000000"/>
                <w:kern w:val="0"/>
                <w:sz w:val="21"/>
                <w:szCs w:val="21"/>
              </w:rPr>
              <w:t>　</w:t>
            </w:r>
          </w:p>
        </w:tc>
        <w:tc>
          <w:tcPr>
            <w:tcW w:w="266" w:type="pct"/>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等线" w:cs="宋体"/>
                <w:color w:val="000000"/>
                <w:kern w:val="0"/>
                <w:sz w:val="21"/>
                <w:szCs w:val="21"/>
              </w:rPr>
            </w:pPr>
            <w:r>
              <w:rPr>
                <w:rFonts w:ascii="仿宋_GB2312" w:hAnsi="等线" w:cs="宋体"/>
                <w:color w:val="000000"/>
                <w:kern w:val="0"/>
                <w:sz w:val="21"/>
                <w:szCs w:val="21"/>
              </w:rPr>
              <w:t>100</w:t>
            </w:r>
          </w:p>
        </w:tc>
        <w:tc>
          <w:tcPr>
            <w:tcW w:w="861" w:type="pct"/>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等线" w:cs="宋体"/>
                <w:color w:val="000000"/>
                <w:kern w:val="0"/>
                <w:sz w:val="21"/>
                <w:szCs w:val="21"/>
              </w:rPr>
            </w:pPr>
            <w:r>
              <w:rPr>
                <w:rFonts w:hint="eastAsia" w:ascii="仿宋_GB2312" w:hAnsi="等线" w:cs="宋体"/>
                <w:color w:val="000000"/>
                <w:kern w:val="0"/>
                <w:sz w:val="21"/>
                <w:szCs w:val="21"/>
              </w:rPr>
              <w:t>　</w:t>
            </w:r>
          </w:p>
        </w:tc>
        <w:tc>
          <w:tcPr>
            <w:tcW w:w="1746" w:type="pct"/>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等线" w:cs="宋体"/>
                <w:color w:val="000000"/>
                <w:kern w:val="0"/>
                <w:sz w:val="21"/>
                <w:szCs w:val="21"/>
              </w:rPr>
            </w:pPr>
            <w:r>
              <w:rPr>
                <w:rFonts w:hint="eastAsia" w:ascii="仿宋_GB2312" w:hAnsi="等线" w:cs="宋体"/>
                <w:color w:val="000000"/>
                <w:kern w:val="0"/>
                <w:sz w:val="21"/>
                <w:szCs w:val="21"/>
              </w:rPr>
              <w:t>　</w:t>
            </w:r>
          </w:p>
        </w:tc>
        <w:tc>
          <w:tcPr>
            <w:tcW w:w="303" w:type="pct"/>
            <w:tcBorders>
              <w:top w:val="single" w:color="auto" w:sz="4" w:space="0"/>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仿宋_GB2312" w:hAnsi="宋体" w:cs="宋体"/>
                <w:color w:val="000000"/>
                <w:kern w:val="0"/>
                <w:sz w:val="21"/>
                <w:szCs w:val="21"/>
              </w:rPr>
            </w:pPr>
            <w:r>
              <w:rPr>
                <w:rFonts w:ascii="仿宋_GB2312" w:hAnsi="宋体" w:cs="宋体"/>
                <w:color w:val="000000"/>
                <w:kern w:val="0"/>
                <w:sz w:val="21"/>
                <w:szCs w:val="21"/>
              </w:rPr>
              <w:t>95.59</w:t>
            </w:r>
          </w:p>
        </w:tc>
        <w:tc>
          <w:tcPr>
            <w:tcW w:w="381" w:type="pct"/>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Times New Roman" w:cs="Times New Roman"/>
                <w:color w:val="000000"/>
                <w:kern w:val="0"/>
                <w:sz w:val="21"/>
                <w:szCs w:val="21"/>
              </w:rPr>
            </w:pPr>
            <w:r>
              <w:rPr>
                <w:rFonts w:hint="eastAsia" w:ascii="仿宋_GB2312" w:hAnsi="Times New Roman" w:cs="Times New Roman"/>
                <w:color w:val="000000"/>
                <w:kern w:val="0"/>
                <w:sz w:val="21"/>
                <w:szCs w:val="21"/>
              </w:rPr>
              <w:t>　</w:t>
            </w:r>
          </w:p>
        </w:tc>
      </w:tr>
    </w:tbl>
    <w:p>
      <w:pPr>
        <w:widowControl/>
        <w:spacing w:line="240" w:lineRule="auto"/>
        <w:ind w:firstLine="0" w:firstLineChars="0"/>
        <w:jc w:val="left"/>
      </w:pPr>
    </w:p>
    <w:sectPr>
      <w:pgSz w:w="16838" w:h="11906" w:orient="landscape"/>
      <w:pgMar w:top="1800" w:right="1440" w:bottom="1800" w:left="1440" w:header="851" w:footer="992" w:gutter="0"/>
      <w:cols w:space="425" w:num="1"/>
      <w:docGrid w:type="lines" w:linePitch="435"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微软雅黑">
    <w:panose1 w:val="020B0503020204020204"/>
    <w:charset w:val="86"/>
    <w:family w:val="auto"/>
    <w:pitch w:val="default"/>
    <w:sig w:usb0="80000287" w:usb1="280F3C52" w:usb2="00000016" w:usb3="00000000" w:csb0="0004001F" w:csb1="00000000"/>
  </w:font>
  <w:font w:name="等线">
    <w:altName w:val="微软雅黑"/>
    <w:panose1 w:val="00000000000000000000"/>
    <w:charset w:val="86"/>
    <w:family w:val="auto"/>
    <w:pitch w:val="default"/>
    <w:sig w:usb0="00000000" w:usb1="00000000" w:usb2="00000000" w:usb3="00000000" w:csb0="00000000" w:csb1="00000000"/>
  </w:font>
  <w:font w:name="等线">
    <w:altName w:val="微软雅黑"/>
    <w:panose1 w:val="00000000000000000000"/>
    <w:charset w:val="00"/>
    <w:family w:val="auto"/>
    <w:pitch w:val="default"/>
    <w:sig w:usb0="00000000" w:usb1="00000000" w:usb2="00000000" w:usb3="00000000" w:csb0="00000000"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等线 Light">
    <w:altName w:val="宋体"/>
    <w:panose1 w:val="02010600030101010101"/>
    <w:charset w:val="86"/>
    <w:family w:val="auto"/>
    <w:pitch w:val="default"/>
    <w:sig w:usb0="00000000" w:usb1="00000000" w:usb2="00000016" w:usb3="00000000" w:csb0="0004000F"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方正小标宋简体">
    <w:altName w:val="黑体"/>
    <w:panose1 w:val="00000000000000000000"/>
    <w:charset w:val="86"/>
    <w:family w:val="script"/>
    <w:pitch w:val="default"/>
    <w:sig w:usb0="00000000" w:usb1="00000000" w:usb2="00000010" w:usb3="00000000" w:csb0="00040000" w:csb1="00000000"/>
  </w:font>
  <w:font w:name="Arial">
    <w:panose1 w:val="020B0604020202020204"/>
    <w:charset w:val="00"/>
    <w:family w:val="swiss"/>
    <w:pitch w:val="default"/>
    <w:sig w:usb0="E0002AFF" w:usb1="C0007843" w:usb2="00000009" w:usb3="00000000" w:csb0="400001FF" w:csb1="FFFF0000"/>
  </w:font>
  <w:font w:name="等线 Light">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ind w:firstLine="0" w:firstLineChars="0"/>
      <w:jc w:val="center"/>
      <w:rPr>
        <w:rFonts w:ascii="宋体" w:hAnsi="宋体" w:eastAsia="宋体"/>
        <w:sz w:val="28"/>
        <w:szCs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ind w:firstLine="0" w:firstLineChars="0"/>
      <w:jc w:val="center"/>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6</w:t>
    </w:r>
    <w:r>
      <w:rPr>
        <w:rFonts w:ascii="宋体" w:hAnsi="宋体" w:eastAsia="宋体"/>
        <w:sz w:val="28"/>
        <w:szCs w:val="2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left="640" w:firstLine="0" w:firstLineChars="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0"/>
      </w:pBdr>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C0674D3"/>
    <w:multiLevelType w:val="multilevel"/>
    <w:tmpl w:val="0C0674D3"/>
    <w:lvl w:ilvl="0" w:tentative="0">
      <w:start w:val="1"/>
      <w:numFmt w:val="decimalEnclosedCircle"/>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1324710E"/>
    <w:multiLevelType w:val="multilevel"/>
    <w:tmpl w:val="1324710E"/>
    <w:lvl w:ilvl="0" w:tentative="0">
      <w:start w:val="1"/>
      <w:numFmt w:val="decimalEnclosedCircle"/>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HorizontalSpacing w:val="160"/>
  <w:drawingGridVerticalSpacing w:val="435"/>
  <w:displayHorizontalDrawingGridEvery w:val="0"/>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lhZmJkMTczMWNkYTJiYWYyMzM1Mzk1MDI4NGNlY2QifQ=="/>
  </w:docVars>
  <w:rsids>
    <w:rsidRoot w:val="00C33FE0"/>
    <w:rsid w:val="0000137C"/>
    <w:rsid w:val="00012048"/>
    <w:rsid w:val="00012616"/>
    <w:rsid w:val="00014421"/>
    <w:rsid w:val="000270DF"/>
    <w:rsid w:val="00032F57"/>
    <w:rsid w:val="000406A1"/>
    <w:rsid w:val="000418EF"/>
    <w:rsid w:val="00045026"/>
    <w:rsid w:val="00047AA4"/>
    <w:rsid w:val="000541F7"/>
    <w:rsid w:val="0005524C"/>
    <w:rsid w:val="00057BBA"/>
    <w:rsid w:val="00057CE0"/>
    <w:rsid w:val="0007044A"/>
    <w:rsid w:val="0007135B"/>
    <w:rsid w:val="00071B96"/>
    <w:rsid w:val="000752CA"/>
    <w:rsid w:val="00075981"/>
    <w:rsid w:val="000855BF"/>
    <w:rsid w:val="000862E7"/>
    <w:rsid w:val="000866C1"/>
    <w:rsid w:val="00087206"/>
    <w:rsid w:val="000A08B5"/>
    <w:rsid w:val="000A1C8A"/>
    <w:rsid w:val="000A22F1"/>
    <w:rsid w:val="000A6461"/>
    <w:rsid w:val="000B5625"/>
    <w:rsid w:val="000C172D"/>
    <w:rsid w:val="000C265B"/>
    <w:rsid w:val="000D18C1"/>
    <w:rsid w:val="000D1A92"/>
    <w:rsid w:val="000D1C85"/>
    <w:rsid w:val="000D6D5A"/>
    <w:rsid w:val="000E0603"/>
    <w:rsid w:val="000E351F"/>
    <w:rsid w:val="000F39E5"/>
    <w:rsid w:val="000F52CC"/>
    <w:rsid w:val="001033F9"/>
    <w:rsid w:val="00111971"/>
    <w:rsid w:val="00113BCA"/>
    <w:rsid w:val="00134E9D"/>
    <w:rsid w:val="00135376"/>
    <w:rsid w:val="00136799"/>
    <w:rsid w:val="001430D6"/>
    <w:rsid w:val="0014496E"/>
    <w:rsid w:val="00145583"/>
    <w:rsid w:val="001632D3"/>
    <w:rsid w:val="001710A7"/>
    <w:rsid w:val="00171E00"/>
    <w:rsid w:val="001822DE"/>
    <w:rsid w:val="00182B0D"/>
    <w:rsid w:val="00184C1C"/>
    <w:rsid w:val="001A0B98"/>
    <w:rsid w:val="001A302A"/>
    <w:rsid w:val="001A5DAA"/>
    <w:rsid w:val="001A641F"/>
    <w:rsid w:val="001D1365"/>
    <w:rsid w:val="001D2C20"/>
    <w:rsid w:val="001D374B"/>
    <w:rsid w:val="001D7162"/>
    <w:rsid w:val="001E77F8"/>
    <w:rsid w:val="001F02FB"/>
    <w:rsid w:val="001F7674"/>
    <w:rsid w:val="00201CE7"/>
    <w:rsid w:val="002039E7"/>
    <w:rsid w:val="002139A1"/>
    <w:rsid w:val="00220ADE"/>
    <w:rsid w:val="00221BFA"/>
    <w:rsid w:val="0022305B"/>
    <w:rsid w:val="00224329"/>
    <w:rsid w:val="00232ED8"/>
    <w:rsid w:val="00233E39"/>
    <w:rsid w:val="00242728"/>
    <w:rsid w:val="00245FA8"/>
    <w:rsid w:val="00246F35"/>
    <w:rsid w:val="00251343"/>
    <w:rsid w:val="002604E3"/>
    <w:rsid w:val="0026276A"/>
    <w:rsid w:val="002660E3"/>
    <w:rsid w:val="00270068"/>
    <w:rsid w:val="002827F4"/>
    <w:rsid w:val="002928CB"/>
    <w:rsid w:val="002A3321"/>
    <w:rsid w:val="002A4189"/>
    <w:rsid w:val="002C2484"/>
    <w:rsid w:val="002F0EDE"/>
    <w:rsid w:val="002F2F46"/>
    <w:rsid w:val="002F7BD7"/>
    <w:rsid w:val="0031601B"/>
    <w:rsid w:val="0031730C"/>
    <w:rsid w:val="003179F4"/>
    <w:rsid w:val="00331A0F"/>
    <w:rsid w:val="00331BAF"/>
    <w:rsid w:val="00340755"/>
    <w:rsid w:val="0035176C"/>
    <w:rsid w:val="003609E9"/>
    <w:rsid w:val="00363D43"/>
    <w:rsid w:val="00367942"/>
    <w:rsid w:val="00367BEA"/>
    <w:rsid w:val="0037735E"/>
    <w:rsid w:val="003843DF"/>
    <w:rsid w:val="00392FFC"/>
    <w:rsid w:val="00394D7A"/>
    <w:rsid w:val="003A1561"/>
    <w:rsid w:val="003A2454"/>
    <w:rsid w:val="003C601B"/>
    <w:rsid w:val="003F2E01"/>
    <w:rsid w:val="00403052"/>
    <w:rsid w:val="00407697"/>
    <w:rsid w:val="00411F96"/>
    <w:rsid w:val="00421DD4"/>
    <w:rsid w:val="00424FB9"/>
    <w:rsid w:val="004300EF"/>
    <w:rsid w:val="00431CE7"/>
    <w:rsid w:val="004368E5"/>
    <w:rsid w:val="00443AE9"/>
    <w:rsid w:val="00451CC7"/>
    <w:rsid w:val="004531CB"/>
    <w:rsid w:val="004536DB"/>
    <w:rsid w:val="00467932"/>
    <w:rsid w:val="0047145E"/>
    <w:rsid w:val="00474F4A"/>
    <w:rsid w:val="004779B6"/>
    <w:rsid w:val="00481FB7"/>
    <w:rsid w:val="00493F9F"/>
    <w:rsid w:val="004A43DA"/>
    <w:rsid w:val="004C0349"/>
    <w:rsid w:val="004C0936"/>
    <w:rsid w:val="004D29C5"/>
    <w:rsid w:val="004E11E4"/>
    <w:rsid w:val="004E502C"/>
    <w:rsid w:val="004E6D6F"/>
    <w:rsid w:val="00500F72"/>
    <w:rsid w:val="005111E7"/>
    <w:rsid w:val="00513A92"/>
    <w:rsid w:val="00526306"/>
    <w:rsid w:val="00530361"/>
    <w:rsid w:val="00544BA3"/>
    <w:rsid w:val="00554D21"/>
    <w:rsid w:val="005605D7"/>
    <w:rsid w:val="00591372"/>
    <w:rsid w:val="00597075"/>
    <w:rsid w:val="005A1407"/>
    <w:rsid w:val="005A1DF9"/>
    <w:rsid w:val="005C2A30"/>
    <w:rsid w:val="005D7BAA"/>
    <w:rsid w:val="005E0E1A"/>
    <w:rsid w:val="005E2091"/>
    <w:rsid w:val="005E45B5"/>
    <w:rsid w:val="005E641F"/>
    <w:rsid w:val="005E6E2A"/>
    <w:rsid w:val="00600444"/>
    <w:rsid w:val="006013A6"/>
    <w:rsid w:val="006075D1"/>
    <w:rsid w:val="00611665"/>
    <w:rsid w:val="00614CFE"/>
    <w:rsid w:val="0062086A"/>
    <w:rsid w:val="00621A6F"/>
    <w:rsid w:val="006232AF"/>
    <w:rsid w:val="00625924"/>
    <w:rsid w:val="006347A1"/>
    <w:rsid w:val="00642019"/>
    <w:rsid w:val="006552EF"/>
    <w:rsid w:val="006756C2"/>
    <w:rsid w:val="0068119D"/>
    <w:rsid w:val="00683012"/>
    <w:rsid w:val="00687D9B"/>
    <w:rsid w:val="006901B1"/>
    <w:rsid w:val="006921E6"/>
    <w:rsid w:val="00695F86"/>
    <w:rsid w:val="00696844"/>
    <w:rsid w:val="006A044B"/>
    <w:rsid w:val="006A43FC"/>
    <w:rsid w:val="006A61F8"/>
    <w:rsid w:val="006B002E"/>
    <w:rsid w:val="006B5308"/>
    <w:rsid w:val="006C1671"/>
    <w:rsid w:val="006D1E85"/>
    <w:rsid w:val="006D7B40"/>
    <w:rsid w:val="00700B0C"/>
    <w:rsid w:val="0070384C"/>
    <w:rsid w:val="00707674"/>
    <w:rsid w:val="00714EFC"/>
    <w:rsid w:val="00716DD3"/>
    <w:rsid w:val="007273B4"/>
    <w:rsid w:val="00736C5B"/>
    <w:rsid w:val="00742AAA"/>
    <w:rsid w:val="00742C56"/>
    <w:rsid w:val="00753BDA"/>
    <w:rsid w:val="00757931"/>
    <w:rsid w:val="00760550"/>
    <w:rsid w:val="00770A38"/>
    <w:rsid w:val="00772DD7"/>
    <w:rsid w:val="0078363A"/>
    <w:rsid w:val="007873FE"/>
    <w:rsid w:val="007910CF"/>
    <w:rsid w:val="00792CC4"/>
    <w:rsid w:val="00793AD3"/>
    <w:rsid w:val="00795D2E"/>
    <w:rsid w:val="00797D36"/>
    <w:rsid w:val="007A4005"/>
    <w:rsid w:val="007A6550"/>
    <w:rsid w:val="007C2D6E"/>
    <w:rsid w:val="007C3CA0"/>
    <w:rsid w:val="007D3884"/>
    <w:rsid w:val="007D4E52"/>
    <w:rsid w:val="007E059E"/>
    <w:rsid w:val="007E59E9"/>
    <w:rsid w:val="007E6560"/>
    <w:rsid w:val="007E7471"/>
    <w:rsid w:val="007E77C8"/>
    <w:rsid w:val="007F4EE5"/>
    <w:rsid w:val="007F6BE4"/>
    <w:rsid w:val="00802CFB"/>
    <w:rsid w:val="00802F51"/>
    <w:rsid w:val="00804C9B"/>
    <w:rsid w:val="00806643"/>
    <w:rsid w:val="00810EC8"/>
    <w:rsid w:val="008168EC"/>
    <w:rsid w:val="008202E0"/>
    <w:rsid w:val="0083293C"/>
    <w:rsid w:val="008365A7"/>
    <w:rsid w:val="00837ADE"/>
    <w:rsid w:val="00837BD6"/>
    <w:rsid w:val="008570C1"/>
    <w:rsid w:val="008613DF"/>
    <w:rsid w:val="00861C4B"/>
    <w:rsid w:val="00865CD8"/>
    <w:rsid w:val="008707B4"/>
    <w:rsid w:val="00873D2F"/>
    <w:rsid w:val="008812D0"/>
    <w:rsid w:val="0088253E"/>
    <w:rsid w:val="008834E8"/>
    <w:rsid w:val="00884365"/>
    <w:rsid w:val="00887352"/>
    <w:rsid w:val="008A11A9"/>
    <w:rsid w:val="008A790A"/>
    <w:rsid w:val="008B1006"/>
    <w:rsid w:val="008D260B"/>
    <w:rsid w:val="008E05A2"/>
    <w:rsid w:val="008E0966"/>
    <w:rsid w:val="008E0D5C"/>
    <w:rsid w:val="008E1048"/>
    <w:rsid w:val="008E2719"/>
    <w:rsid w:val="008E5247"/>
    <w:rsid w:val="00900612"/>
    <w:rsid w:val="009071B6"/>
    <w:rsid w:val="00917AB4"/>
    <w:rsid w:val="00925D84"/>
    <w:rsid w:val="00941565"/>
    <w:rsid w:val="009432C7"/>
    <w:rsid w:val="009443D3"/>
    <w:rsid w:val="00944B06"/>
    <w:rsid w:val="00946FE2"/>
    <w:rsid w:val="009526C0"/>
    <w:rsid w:val="00962CA4"/>
    <w:rsid w:val="0096787C"/>
    <w:rsid w:val="0097618E"/>
    <w:rsid w:val="009808A7"/>
    <w:rsid w:val="009876BD"/>
    <w:rsid w:val="00990226"/>
    <w:rsid w:val="00996D6A"/>
    <w:rsid w:val="009A4781"/>
    <w:rsid w:val="009B200E"/>
    <w:rsid w:val="009B4F84"/>
    <w:rsid w:val="009B54F2"/>
    <w:rsid w:val="009D3F2E"/>
    <w:rsid w:val="009D651E"/>
    <w:rsid w:val="009E6B1E"/>
    <w:rsid w:val="009E6B6E"/>
    <w:rsid w:val="009F04FA"/>
    <w:rsid w:val="009F1F39"/>
    <w:rsid w:val="009F4C6E"/>
    <w:rsid w:val="00A115C1"/>
    <w:rsid w:val="00A12BAB"/>
    <w:rsid w:val="00A13C93"/>
    <w:rsid w:val="00A27D33"/>
    <w:rsid w:val="00A34437"/>
    <w:rsid w:val="00A46962"/>
    <w:rsid w:val="00A46FD5"/>
    <w:rsid w:val="00A50EB4"/>
    <w:rsid w:val="00A51318"/>
    <w:rsid w:val="00A81482"/>
    <w:rsid w:val="00A93713"/>
    <w:rsid w:val="00AA7CAA"/>
    <w:rsid w:val="00AB29F1"/>
    <w:rsid w:val="00AB380F"/>
    <w:rsid w:val="00AB5A38"/>
    <w:rsid w:val="00AB6356"/>
    <w:rsid w:val="00AD7933"/>
    <w:rsid w:val="00AF12B4"/>
    <w:rsid w:val="00AF7451"/>
    <w:rsid w:val="00B06677"/>
    <w:rsid w:val="00B14993"/>
    <w:rsid w:val="00B14DB6"/>
    <w:rsid w:val="00B16B87"/>
    <w:rsid w:val="00B17E8A"/>
    <w:rsid w:val="00B20123"/>
    <w:rsid w:val="00B23FC2"/>
    <w:rsid w:val="00B24CB0"/>
    <w:rsid w:val="00B410B1"/>
    <w:rsid w:val="00B566E5"/>
    <w:rsid w:val="00B64F1A"/>
    <w:rsid w:val="00B745D8"/>
    <w:rsid w:val="00B9508D"/>
    <w:rsid w:val="00B95413"/>
    <w:rsid w:val="00BA1F65"/>
    <w:rsid w:val="00BA677F"/>
    <w:rsid w:val="00BB045C"/>
    <w:rsid w:val="00BB497C"/>
    <w:rsid w:val="00BB5934"/>
    <w:rsid w:val="00BB685F"/>
    <w:rsid w:val="00BD3184"/>
    <w:rsid w:val="00BD6477"/>
    <w:rsid w:val="00BD7298"/>
    <w:rsid w:val="00BE1C72"/>
    <w:rsid w:val="00BE3AC7"/>
    <w:rsid w:val="00BF347D"/>
    <w:rsid w:val="00C00466"/>
    <w:rsid w:val="00C12067"/>
    <w:rsid w:val="00C1207D"/>
    <w:rsid w:val="00C224A5"/>
    <w:rsid w:val="00C27C36"/>
    <w:rsid w:val="00C33BCB"/>
    <w:rsid w:val="00C33FE0"/>
    <w:rsid w:val="00C34426"/>
    <w:rsid w:val="00C3743F"/>
    <w:rsid w:val="00C60195"/>
    <w:rsid w:val="00C62F39"/>
    <w:rsid w:val="00C76FE3"/>
    <w:rsid w:val="00C83C5C"/>
    <w:rsid w:val="00C86B1A"/>
    <w:rsid w:val="00C8767E"/>
    <w:rsid w:val="00C92ECD"/>
    <w:rsid w:val="00C95C6D"/>
    <w:rsid w:val="00CA5428"/>
    <w:rsid w:val="00CB7F20"/>
    <w:rsid w:val="00D01EC6"/>
    <w:rsid w:val="00D108CF"/>
    <w:rsid w:val="00D13046"/>
    <w:rsid w:val="00D3630A"/>
    <w:rsid w:val="00D46938"/>
    <w:rsid w:val="00D531A9"/>
    <w:rsid w:val="00D61906"/>
    <w:rsid w:val="00D66D70"/>
    <w:rsid w:val="00D80028"/>
    <w:rsid w:val="00D826B8"/>
    <w:rsid w:val="00D8425F"/>
    <w:rsid w:val="00D866E5"/>
    <w:rsid w:val="00D87070"/>
    <w:rsid w:val="00D92121"/>
    <w:rsid w:val="00D92661"/>
    <w:rsid w:val="00DA640E"/>
    <w:rsid w:val="00DA6CF4"/>
    <w:rsid w:val="00DA7ECB"/>
    <w:rsid w:val="00DB14C1"/>
    <w:rsid w:val="00DC7504"/>
    <w:rsid w:val="00DD203E"/>
    <w:rsid w:val="00DD37A4"/>
    <w:rsid w:val="00DD6DEF"/>
    <w:rsid w:val="00DD6E95"/>
    <w:rsid w:val="00DF4EAD"/>
    <w:rsid w:val="00DF52C5"/>
    <w:rsid w:val="00E01622"/>
    <w:rsid w:val="00E03F41"/>
    <w:rsid w:val="00E16C29"/>
    <w:rsid w:val="00E2271D"/>
    <w:rsid w:val="00E25661"/>
    <w:rsid w:val="00E25F99"/>
    <w:rsid w:val="00E300F6"/>
    <w:rsid w:val="00E307CF"/>
    <w:rsid w:val="00E32BEC"/>
    <w:rsid w:val="00E33658"/>
    <w:rsid w:val="00E35611"/>
    <w:rsid w:val="00E435C2"/>
    <w:rsid w:val="00E534C9"/>
    <w:rsid w:val="00E60686"/>
    <w:rsid w:val="00E73684"/>
    <w:rsid w:val="00E76C3F"/>
    <w:rsid w:val="00E7707C"/>
    <w:rsid w:val="00E80ADD"/>
    <w:rsid w:val="00E95CFF"/>
    <w:rsid w:val="00EA606C"/>
    <w:rsid w:val="00EC5DE2"/>
    <w:rsid w:val="00EE008C"/>
    <w:rsid w:val="00EE3DE1"/>
    <w:rsid w:val="00EE6FAB"/>
    <w:rsid w:val="00EE79DD"/>
    <w:rsid w:val="00EF5712"/>
    <w:rsid w:val="00EF7246"/>
    <w:rsid w:val="00EF7C32"/>
    <w:rsid w:val="00F031C5"/>
    <w:rsid w:val="00F05413"/>
    <w:rsid w:val="00F17114"/>
    <w:rsid w:val="00F209F7"/>
    <w:rsid w:val="00F33CB7"/>
    <w:rsid w:val="00F52E7C"/>
    <w:rsid w:val="00F62983"/>
    <w:rsid w:val="00F72B13"/>
    <w:rsid w:val="00F85C0F"/>
    <w:rsid w:val="00F92FD4"/>
    <w:rsid w:val="00F97D55"/>
    <w:rsid w:val="00FA3BCC"/>
    <w:rsid w:val="00FA72F6"/>
    <w:rsid w:val="00FB74BD"/>
    <w:rsid w:val="00FC0041"/>
    <w:rsid w:val="00FC1701"/>
    <w:rsid w:val="00FC28A3"/>
    <w:rsid w:val="00FC5FAF"/>
    <w:rsid w:val="00FD5F9E"/>
    <w:rsid w:val="00FD7D2F"/>
    <w:rsid w:val="1B9F10DC"/>
    <w:rsid w:val="480854C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560" w:lineRule="exact"/>
      <w:ind w:firstLine="200" w:firstLineChars="200"/>
      <w:jc w:val="both"/>
    </w:pPr>
    <w:rPr>
      <w:rFonts w:eastAsia="仿宋_GB2312" w:asciiTheme="minorHAnsi" w:hAnsiTheme="minorHAnsi" w:cstheme="minorBidi"/>
      <w:kern w:val="2"/>
      <w:sz w:val="32"/>
      <w:szCs w:val="22"/>
      <w:lang w:val="en-US" w:eastAsia="zh-CN" w:bidi="ar-SA"/>
    </w:rPr>
  </w:style>
  <w:style w:type="paragraph" w:styleId="2">
    <w:name w:val="heading 1"/>
    <w:basedOn w:val="1"/>
    <w:next w:val="1"/>
    <w:link w:val="18"/>
    <w:qFormat/>
    <w:uiPriority w:val="9"/>
    <w:pPr>
      <w:outlineLvl w:val="0"/>
    </w:pPr>
    <w:rPr>
      <w:rFonts w:eastAsia="黑体"/>
      <w:bCs/>
      <w:kern w:val="44"/>
      <w:szCs w:val="44"/>
    </w:rPr>
  </w:style>
  <w:style w:type="paragraph" w:styleId="3">
    <w:name w:val="heading 2"/>
    <w:basedOn w:val="1"/>
    <w:next w:val="1"/>
    <w:link w:val="21"/>
    <w:unhideWhenUsed/>
    <w:qFormat/>
    <w:uiPriority w:val="9"/>
    <w:pPr>
      <w:outlineLvl w:val="1"/>
    </w:pPr>
    <w:rPr>
      <w:rFonts w:eastAsia="楷体_GB2312" w:asciiTheme="majorHAnsi" w:hAnsiTheme="majorHAnsi" w:cstheme="majorBidi"/>
      <w:b/>
      <w:bCs/>
      <w:szCs w:val="32"/>
    </w:rPr>
  </w:style>
  <w:style w:type="paragraph" w:styleId="4">
    <w:name w:val="heading 3"/>
    <w:basedOn w:val="1"/>
    <w:next w:val="1"/>
    <w:link w:val="22"/>
    <w:unhideWhenUsed/>
    <w:qFormat/>
    <w:uiPriority w:val="9"/>
    <w:pPr>
      <w:outlineLvl w:val="2"/>
    </w:pPr>
    <w:rPr>
      <w:b/>
      <w:bCs/>
      <w:szCs w:val="32"/>
    </w:rPr>
  </w:style>
  <w:style w:type="paragraph" w:styleId="5">
    <w:name w:val="heading 4"/>
    <w:basedOn w:val="1"/>
    <w:next w:val="1"/>
    <w:link w:val="23"/>
    <w:semiHidden/>
    <w:unhideWhenUsed/>
    <w:qFormat/>
    <w:uiPriority w:val="9"/>
    <w:pPr>
      <w:keepNext/>
      <w:keepLines/>
      <w:spacing w:before="280" w:after="290" w:line="376" w:lineRule="atLeast"/>
      <w:outlineLvl w:val="3"/>
    </w:pPr>
    <w:rPr>
      <w:rFonts w:asciiTheme="majorHAnsi" w:hAnsiTheme="majorHAnsi" w:eastAsiaTheme="majorEastAsia" w:cstheme="majorBidi"/>
      <w:b/>
      <w:bCs/>
      <w:sz w:val="28"/>
      <w:szCs w:val="28"/>
    </w:rPr>
  </w:style>
  <w:style w:type="character" w:default="1" w:styleId="15">
    <w:name w:val="Default Paragraph Font"/>
    <w:semiHidden/>
    <w:unhideWhenUsed/>
    <w:qFormat/>
    <w:uiPriority w:val="1"/>
  </w:style>
  <w:style w:type="table" w:default="1" w:styleId="14">
    <w:name w:val="Normal Table"/>
    <w:semiHidden/>
    <w:unhideWhenUsed/>
    <w:uiPriority w:val="99"/>
    <w:tblPr>
      <w:tblCellMar>
        <w:top w:w="0" w:type="dxa"/>
        <w:left w:w="108" w:type="dxa"/>
        <w:bottom w:w="0" w:type="dxa"/>
        <w:right w:w="108" w:type="dxa"/>
      </w:tblCellMar>
    </w:tblPr>
  </w:style>
  <w:style w:type="paragraph" w:styleId="6">
    <w:name w:val="annotation text"/>
    <w:basedOn w:val="1"/>
    <w:link w:val="26"/>
    <w:unhideWhenUsed/>
    <w:uiPriority w:val="99"/>
    <w:pPr>
      <w:jc w:val="left"/>
    </w:pPr>
  </w:style>
  <w:style w:type="paragraph" w:styleId="7">
    <w:name w:val="toc 3"/>
    <w:basedOn w:val="1"/>
    <w:next w:val="1"/>
    <w:unhideWhenUsed/>
    <w:qFormat/>
    <w:uiPriority w:val="39"/>
    <w:pPr>
      <w:ind w:left="840" w:leftChars="400"/>
    </w:pPr>
  </w:style>
  <w:style w:type="paragraph" w:styleId="8">
    <w:name w:val="Balloon Text"/>
    <w:basedOn w:val="1"/>
    <w:link w:val="29"/>
    <w:semiHidden/>
    <w:unhideWhenUsed/>
    <w:uiPriority w:val="99"/>
    <w:pPr>
      <w:spacing w:line="240" w:lineRule="auto"/>
    </w:pPr>
    <w:rPr>
      <w:sz w:val="18"/>
      <w:szCs w:val="18"/>
    </w:rPr>
  </w:style>
  <w:style w:type="paragraph" w:styleId="9">
    <w:name w:val="footer"/>
    <w:basedOn w:val="1"/>
    <w:link w:val="20"/>
    <w:unhideWhenUsed/>
    <w:qFormat/>
    <w:uiPriority w:val="99"/>
    <w:pPr>
      <w:tabs>
        <w:tab w:val="center" w:pos="4153"/>
        <w:tab w:val="right" w:pos="8306"/>
      </w:tabs>
      <w:snapToGrid w:val="0"/>
      <w:jc w:val="left"/>
    </w:pPr>
    <w:rPr>
      <w:sz w:val="18"/>
      <w:szCs w:val="18"/>
    </w:rPr>
  </w:style>
  <w:style w:type="paragraph" w:styleId="10">
    <w:name w:val="header"/>
    <w:basedOn w:val="1"/>
    <w:link w:val="19"/>
    <w:unhideWhenUsed/>
    <w:qFormat/>
    <w:uiPriority w:val="99"/>
    <w:pPr>
      <w:pBdr>
        <w:bottom w:val="single" w:color="auto" w:sz="6" w:space="1"/>
      </w:pBdr>
      <w:tabs>
        <w:tab w:val="center" w:pos="4153"/>
        <w:tab w:val="right" w:pos="8306"/>
      </w:tabs>
      <w:snapToGrid w:val="0"/>
      <w:jc w:val="center"/>
    </w:pPr>
    <w:rPr>
      <w:sz w:val="18"/>
      <w:szCs w:val="18"/>
    </w:rPr>
  </w:style>
  <w:style w:type="paragraph" w:styleId="11">
    <w:name w:val="toc 1"/>
    <w:basedOn w:val="1"/>
    <w:next w:val="1"/>
    <w:unhideWhenUsed/>
    <w:qFormat/>
    <w:uiPriority w:val="39"/>
  </w:style>
  <w:style w:type="paragraph" w:styleId="12">
    <w:name w:val="toc 2"/>
    <w:basedOn w:val="1"/>
    <w:next w:val="1"/>
    <w:unhideWhenUsed/>
    <w:qFormat/>
    <w:uiPriority w:val="39"/>
    <w:pPr>
      <w:tabs>
        <w:tab w:val="right" w:leader="dot" w:pos="8296"/>
      </w:tabs>
      <w:ind w:firstLine="643"/>
    </w:pPr>
    <w:rPr>
      <w:rFonts w:ascii="仿宋_GB2312"/>
      <w:b/>
      <w:bCs/>
    </w:rPr>
  </w:style>
  <w:style w:type="paragraph" w:styleId="13">
    <w:name w:val="annotation subject"/>
    <w:basedOn w:val="6"/>
    <w:next w:val="6"/>
    <w:link w:val="27"/>
    <w:semiHidden/>
    <w:unhideWhenUsed/>
    <w:uiPriority w:val="99"/>
    <w:rPr>
      <w:b/>
      <w:bCs/>
    </w:rPr>
  </w:style>
  <w:style w:type="character" w:styleId="16">
    <w:name w:val="Hyperlink"/>
    <w:basedOn w:val="15"/>
    <w:unhideWhenUsed/>
    <w:qFormat/>
    <w:uiPriority w:val="99"/>
    <w:rPr>
      <w:color w:val="0563C1" w:themeColor="hyperlink"/>
      <w:u w:val="single"/>
      <w14:textFill>
        <w14:solidFill>
          <w14:schemeClr w14:val="hlink"/>
        </w14:solidFill>
      </w14:textFill>
    </w:rPr>
  </w:style>
  <w:style w:type="character" w:styleId="17">
    <w:name w:val="annotation reference"/>
    <w:basedOn w:val="15"/>
    <w:semiHidden/>
    <w:unhideWhenUsed/>
    <w:qFormat/>
    <w:uiPriority w:val="99"/>
    <w:rPr>
      <w:sz w:val="21"/>
      <w:szCs w:val="21"/>
    </w:rPr>
  </w:style>
  <w:style w:type="character" w:customStyle="1" w:styleId="18">
    <w:name w:val="标题 1 Char"/>
    <w:basedOn w:val="15"/>
    <w:link w:val="2"/>
    <w:qFormat/>
    <w:uiPriority w:val="9"/>
    <w:rPr>
      <w:rFonts w:eastAsia="黑体"/>
      <w:bCs/>
      <w:kern w:val="44"/>
      <w:sz w:val="32"/>
      <w:szCs w:val="44"/>
    </w:rPr>
  </w:style>
  <w:style w:type="character" w:customStyle="1" w:styleId="19">
    <w:name w:val="页眉 Char"/>
    <w:basedOn w:val="15"/>
    <w:link w:val="10"/>
    <w:qFormat/>
    <w:uiPriority w:val="99"/>
    <w:rPr>
      <w:sz w:val="18"/>
      <w:szCs w:val="18"/>
    </w:rPr>
  </w:style>
  <w:style w:type="character" w:customStyle="1" w:styleId="20">
    <w:name w:val="页脚 Char"/>
    <w:basedOn w:val="15"/>
    <w:link w:val="9"/>
    <w:qFormat/>
    <w:uiPriority w:val="99"/>
    <w:rPr>
      <w:sz w:val="18"/>
      <w:szCs w:val="18"/>
    </w:rPr>
  </w:style>
  <w:style w:type="character" w:customStyle="1" w:styleId="21">
    <w:name w:val="标题 2 Char"/>
    <w:basedOn w:val="15"/>
    <w:link w:val="3"/>
    <w:uiPriority w:val="9"/>
    <w:rPr>
      <w:rFonts w:eastAsia="楷体_GB2312" w:asciiTheme="majorHAnsi" w:hAnsiTheme="majorHAnsi" w:cstheme="majorBidi"/>
      <w:b/>
      <w:bCs/>
      <w:sz w:val="32"/>
      <w:szCs w:val="32"/>
    </w:rPr>
  </w:style>
  <w:style w:type="character" w:customStyle="1" w:styleId="22">
    <w:name w:val="标题 3 Char"/>
    <w:basedOn w:val="15"/>
    <w:link w:val="4"/>
    <w:uiPriority w:val="9"/>
    <w:rPr>
      <w:rFonts w:eastAsia="仿宋_GB2312"/>
      <w:b/>
      <w:bCs/>
      <w:kern w:val="2"/>
      <w:sz w:val="32"/>
      <w:szCs w:val="32"/>
    </w:rPr>
  </w:style>
  <w:style w:type="character" w:customStyle="1" w:styleId="23">
    <w:name w:val="标题 4 Char"/>
    <w:basedOn w:val="15"/>
    <w:link w:val="5"/>
    <w:semiHidden/>
    <w:uiPriority w:val="9"/>
    <w:rPr>
      <w:rFonts w:asciiTheme="majorHAnsi" w:hAnsiTheme="majorHAnsi" w:eastAsiaTheme="majorEastAsia" w:cstheme="majorBidi"/>
      <w:b/>
      <w:bCs/>
      <w:sz w:val="28"/>
      <w:szCs w:val="28"/>
    </w:rPr>
  </w:style>
  <w:style w:type="paragraph" w:customStyle="1" w:styleId="24">
    <w:name w:val="TOC 标题1"/>
    <w:basedOn w:val="2"/>
    <w:next w:val="1"/>
    <w:unhideWhenUsed/>
    <w:qFormat/>
    <w:uiPriority w:val="39"/>
    <w:pPr>
      <w:keepNext/>
      <w:keepLines/>
      <w:widowControl/>
      <w:spacing w:before="240" w:line="259" w:lineRule="auto"/>
      <w:ind w:firstLine="0" w:firstLineChars="0"/>
      <w:jc w:val="left"/>
      <w:outlineLvl w:val="9"/>
    </w:pPr>
    <w:rPr>
      <w:rFonts w:asciiTheme="majorHAnsi" w:hAnsiTheme="majorHAnsi" w:eastAsiaTheme="majorEastAsia" w:cstheme="majorBidi"/>
      <w:bCs w:val="0"/>
      <w:color w:val="2F5597" w:themeColor="accent1" w:themeShade="BF"/>
      <w:kern w:val="0"/>
      <w:szCs w:val="32"/>
    </w:rPr>
  </w:style>
  <w:style w:type="paragraph" w:styleId="25">
    <w:name w:val="List Paragraph"/>
    <w:basedOn w:val="1"/>
    <w:qFormat/>
    <w:uiPriority w:val="34"/>
    <w:pPr>
      <w:ind w:firstLine="420"/>
    </w:pPr>
  </w:style>
  <w:style w:type="character" w:customStyle="1" w:styleId="26">
    <w:name w:val="批注文字 Char"/>
    <w:basedOn w:val="15"/>
    <w:link w:val="6"/>
    <w:uiPriority w:val="99"/>
    <w:rPr>
      <w:rFonts w:eastAsia="仿宋_GB2312"/>
      <w:sz w:val="32"/>
    </w:rPr>
  </w:style>
  <w:style w:type="character" w:customStyle="1" w:styleId="27">
    <w:name w:val="批注主题 Char"/>
    <w:basedOn w:val="26"/>
    <w:link w:val="13"/>
    <w:semiHidden/>
    <w:uiPriority w:val="99"/>
    <w:rPr>
      <w:rFonts w:eastAsia="仿宋_GB2312"/>
      <w:b/>
      <w:bCs/>
      <w:sz w:val="32"/>
    </w:rPr>
  </w:style>
  <w:style w:type="paragraph" w:customStyle="1" w:styleId="28">
    <w:name w:val="Revision"/>
    <w:hidden/>
    <w:semiHidden/>
    <w:uiPriority w:val="99"/>
    <w:rPr>
      <w:rFonts w:eastAsia="仿宋_GB2312" w:asciiTheme="minorHAnsi" w:hAnsiTheme="minorHAnsi" w:cstheme="minorBidi"/>
      <w:kern w:val="2"/>
      <w:sz w:val="32"/>
      <w:szCs w:val="22"/>
      <w:lang w:val="en-US" w:eastAsia="zh-CN" w:bidi="ar-SA"/>
    </w:rPr>
  </w:style>
  <w:style w:type="character" w:customStyle="1" w:styleId="29">
    <w:name w:val="批注框文本 Char"/>
    <w:basedOn w:val="15"/>
    <w:link w:val="8"/>
    <w:semiHidden/>
    <w:qFormat/>
    <w:uiPriority w:val="99"/>
    <w:rPr>
      <w:rFonts w:eastAsia="仿宋_GB2312"/>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1.xml"/><Relationship Id="rId13" Type="http://schemas.openxmlformats.org/officeDocument/2006/relationships/numbering" Target="numbering.xml"/><Relationship Id="rId12" Type="http://schemas.openxmlformats.org/officeDocument/2006/relationships/theme" Target="theme/theme1.xml"/><Relationship Id="rId11" Type="http://schemas.openxmlformats.org/officeDocument/2006/relationships/footer" Target="footer4.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3A1652-B6E7-4235-A499-13C60B2DE835}">
  <ds:schemaRefs/>
</ds:datastoreItem>
</file>

<file path=docProps/app.xml><?xml version="1.0" encoding="utf-8"?>
<Properties xmlns="http://schemas.openxmlformats.org/officeDocument/2006/extended-properties" xmlns:vt="http://schemas.openxmlformats.org/officeDocument/2006/docPropsVTypes">
  <Template>Normal</Template>
  <Pages>1</Pages>
  <Words>2010</Words>
  <Characters>11457</Characters>
  <Lines>95</Lines>
  <Paragraphs>26</Paragraphs>
  <TotalTime>2</TotalTime>
  <ScaleCrop>false</ScaleCrop>
  <LinksUpToDate>false</LinksUpToDate>
  <CharactersWithSpaces>13441</CharactersWithSpaces>
  <Application>WPS Office_11.8.2.11718_F1E327BC-269C-435d-A152-05C5408002CA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2022-08-31T03:27:00Z</dcterms:created>
  <dc:creator>罗冰</dc:creator>
  <cp:lastModifiedBy>Administrator</cp:lastModifiedBy>
  <dcterms:modified xsi:type="dcterms:W3CDTF">2024-09-12T08:26:32Z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2052-11.8.2.11718</vt:lpwstr>
  </property>
  <property fmtid="{D5CDD505-2E9C-101B-9397-08002B2CF9AE}" pid="3" name="ICV">
    <vt:lpwstr>66E5A5CC23D7400FABD9873B6516586E</vt:lpwstr>
  </property>
</Properties>
</file>