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9" w:lineRule="exact"/>
        <w:ind w:firstLine="0" w:firstLineChars="0"/>
        <w:jc w:val="center"/>
        <w:outlineLvl w:val="3"/>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福保街道购买“三小”场所智慧安全监管服务项目采购需求</w:t>
      </w:r>
    </w:p>
    <w:p>
      <w:pPr>
        <w:pStyle w:val="2"/>
        <w:rPr>
          <w:lang w:val="en-US"/>
        </w:rPr>
      </w:pPr>
    </w:p>
    <w:p>
      <w:pPr>
        <w:ind w:firstLine="560"/>
        <w:rPr>
          <w:rFonts w:hAnsi="仿宋_GB2312" w:cs="仿宋_GB2312"/>
          <w:b/>
          <w:bCs/>
          <w:sz w:val="28"/>
          <w:szCs w:val="28"/>
        </w:rPr>
      </w:pPr>
      <w:r>
        <w:rPr>
          <w:rFonts w:hint="eastAsia" w:hAnsi="仿宋_GB2312" w:cs="仿宋_GB2312"/>
          <w:b/>
          <w:bCs/>
          <w:sz w:val="28"/>
          <w:szCs w:val="28"/>
        </w:rPr>
        <w:t>一、采购项目概况：</w:t>
      </w:r>
    </w:p>
    <w:p>
      <w:pPr>
        <w:spacing w:line="360" w:lineRule="auto"/>
        <w:ind w:firstLine="560"/>
        <w:rPr>
          <w:sz w:val="28"/>
          <w:szCs w:val="28"/>
        </w:rPr>
      </w:pPr>
      <w:r>
        <w:rPr>
          <w:rFonts w:hint="eastAsia" w:hAnsi="仿宋_GB2312" w:cs="仿宋_GB2312"/>
          <w:sz w:val="28"/>
          <w:szCs w:val="28"/>
        </w:rPr>
        <w:t>针对福田区福保街道设有阁楼的“三小”场所违规住人情况，按照《深圳市消防发展“十四五”规划》、《福田区应急管理体系和能力建设“十四五”规划》等要求，现福田区福保街道应急办计划通过购买服务方式，在辖区内设有阁楼的“三小”场所安装智能烟感探测器、AI摄像机等设备，利用智能微波、红外+蓝光探测、AI识别算法分析等技术，实现对辖区设有阁楼的“三小”场所违规住人情况进行监测预警。</w:t>
      </w:r>
    </w:p>
    <w:p>
      <w:pPr>
        <w:numPr>
          <w:ilvl w:val="0"/>
          <w:numId w:val="1"/>
        </w:numPr>
        <w:ind w:firstLine="560"/>
        <w:rPr>
          <w:rFonts w:hAnsi="仿宋_GB2312" w:cs="仿宋_GB2312"/>
          <w:b/>
          <w:bCs/>
          <w:sz w:val="28"/>
          <w:szCs w:val="28"/>
        </w:rPr>
      </w:pPr>
      <w:r>
        <w:rPr>
          <w:rFonts w:hint="eastAsia" w:hAnsi="仿宋_GB2312" w:cs="仿宋_GB2312"/>
          <w:b/>
          <w:bCs/>
          <w:sz w:val="28"/>
          <w:szCs w:val="28"/>
        </w:rPr>
        <w:t>项目服务内容：</w:t>
      </w:r>
    </w:p>
    <w:p>
      <w:pPr>
        <w:spacing w:line="360" w:lineRule="auto"/>
        <w:ind w:firstLine="560"/>
        <w:rPr>
          <w:sz w:val="28"/>
          <w:szCs w:val="28"/>
        </w:rPr>
      </w:pPr>
      <w:r>
        <w:rPr>
          <w:rFonts w:hint="eastAsia"/>
          <w:sz w:val="28"/>
          <w:szCs w:val="28"/>
        </w:rPr>
        <w:t>1</w:t>
      </w:r>
      <w:r>
        <w:rPr>
          <w:sz w:val="28"/>
          <w:szCs w:val="28"/>
        </w:rPr>
        <w:t>.</w:t>
      </w:r>
      <w:r>
        <w:rPr>
          <w:rFonts w:hint="eastAsia"/>
          <w:sz w:val="28"/>
          <w:szCs w:val="28"/>
        </w:rPr>
        <w:t>在福田区福</w:t>
      </w:r>
      <w:r>
        <w:rPr>
          <w:rFonts w:hint="eastAsia" w:hAnsi="仿宋_GB2312" w:cs="仿宋_GB2312"/>
          <w:sz w:val="28"/>
          <w:szCs w:val="28"/>
        </w:rPr>
        <w:t>保</w:t>
      </w:r>
      <w:r>
        <w:rPr>
          <w:rFonts w:hint="eastAsia"/>
          <w:sz w:val="28"/>
          <w:szCs w:val="28"/>
        </w:rPr>
        <w:t>街道500家设有阁楼的“三小”场所前端安装智能烟感火灾探测器、三小场所AI摄像机等监测服务，前端设备通过无线或有线方式连接网络，通过移动客户端和软件平台端进行定时段监测场所内人员留宿情况，及时报送监测预警信息和视频图像抓拍。</w:t>
      </w:r>
    </w:p>
    <w:p>
      <w:pPr>
        <w:spacing w:line="360" w:lineRule="auto"/>
        <w:ind w:firstLine="560"/>
        <w:rPr>
          <w:sz w:val="28"/>
          <w:szCs w:val="28"/>
        </w:rPr>
      </w:pPr>
      <w:r>
        <w:rPr>
          <w:rFonts w:hint="eastAsia"/>
          <w:sz w:val="28"/>
          <w:szCs w:val="28"/>
        </w:rPr>
        <w:t>（1）场所内安装智能烟感火灾探测器：通过设备自身</w:t>
      </w:r>
      <w:r>
        <w:rPr>
          <w:rFonts w:hint="eastAsia"/>
          <w:sz w:val="28"/>
          <w:szCs w:val="28"/>
          <w:lang w:val="en-US" w:eastAsia="zh-CN"/>
        </w:rPr>
        <w:t>微波</w:t>
      </w:r>
      <w:r>
        <w:rPr>
          <w:rFonts w:hint="eastAsia"/>
          <w:sz w:val="28"/>
          <w:szCs w:val="28"/>
        </w:rPr>
        <w:t>探测器及智能传感器，对场景内探测器下方布防后的时间段内探测到出现的移动人体/物体，包括烟雾阈值、温度值、湿度值、异常故障报警、电池电量等数据信息，通过无线或有线方式上报至移动端和平台端，同时平台端可下发指令调整设备的烟雾报警阈值。</w:t>
      </w:r>
    </w:p>
    <w:p>
      <w:pPr>
        <w:spacing w:line="360" w:lineRule="auto"/>
        <w:ind w:firstLine="560"/>
        <w:rPr>
          <w:sz w:val="28"/>
          <w:szCs w:val="28"/>
        </w:rPr>
      </w:pPr>
      <w:r>
        <w:rPr>
          <w:rFonts w:hint="eastAsia"/>
          <w:sz w:val="28"/>
          <w:szCs w:val="28"/>
        </w:rPr>
        <w:t>（2）场所内安装高清三小场所AI摄像机：通过无线或有线方式连接网络，统一进行设定时间段布控和撤防，对布控区域范围内进行移动物体智能跟踪/拍摄、实时画面录像/回放，并且对检测到的移动侦测/人形进行识别/分析报警，将报警信息发送至移动端和平台端，通过移动端和平台端与摄像机进行对讲，以及实时监控报警场景。</w:t>
      </w:r>
    </w:p>
    <w:p>
      <w:pPr>
        <w:spacing w:line="360" w:lineRule="auto"/>
        <w:ind w:firstLine="560"/>
        <w:rPr>
          <w:sz w:val="28"/>
          <w:szCs w:val="28"/>
        </w:rPr>
      </w:pPr>
      <w:r>
        <w:rPr>
          <w:rFonts w:hint="eastAsia"/>
          <w:sz w:val="28"/>
          <w:szCs w:val="28"/>
        </w:rPr>
        <w:t>2</w:t>
      </w:r>
      <w:r>
        <w:rPr>
          <w:sz w:val="28"/>
          <w:szCs w:val="28"/>
        </w:rPr>
        <w:t>.</w:t>
      </w:r>
      <w:r>
        <w:rPr>
          <w:rFonts w:hint="eastAsia"/>
          <w:sz w:val="28"/>
          <w:szCs w:val="28"/>
        </w:rPr>
        <w:t>提供福田区福</w:t>
      </w:r>
      <w:r>
        <w:rPr>
          <w:rFonts w:hint="eastAsia" w:hAnsi="仿宋_GB2312" w:cs="仿宋_GB2312"/>
          <w:sz w:val="28"/>
          <w:szCs w:val="28"/>
        </w:rPr>
        <w:t>保</w:t>
      </w:r>
      <w:r>
        <w:rPr>
          <w:rFonts w:hint="eastAsia"/>
          <w:sz w:val="28"/>
          <w:szCs w:val="28"/>
        </w:rPr>
        <w:t>街道“三小”场所智慧安全监管平台服务，系统平台能接收前端监测预警信息，并将预警信息推送到相关监管方、业主方人员，具有设备管理、报警处置、数据统计等相关功能。</w:t>
      </w:r>
    </w:p>
    <w:p>
      <w:pPr>
        <w:spacing w:line="360" w:lineRule="auto"/>
        <w:ind w:firstLine="560"/>
        <w:rPr>
          <w:sz w:val="28"/>
          <w:szCs w:val="28"/>
        </w:rPr>
      </w:pPr>
      <w:r>
        <w:rPr>
          <w:rFonts w:hint="eastAsia"/>
          <w:sz w:val="28"/>
          <w:szCs w:val="28"/>
        </w:rPr>
        <w:t>3.提供“三小”场所室内空间扫描建模服务，针对“三小”场所进行室内三维扫描建模、数据渲染及后期处理。</w:t>
      </w:r>
    </w:p>
    <w:p>
      <w:pPr>
        <w:spacing w:line="360" w:lineRule="auto"/>
        <w:ind w:firstLine="560"/>
        <w:rPr>
          <w:sz w:val="28"/>
          <w:szCs w:val="28"/>
        </w:rPr>
      </w:pPr>
      <w:r>
        <w:rPr>
          <w:rFonts w:hint="eastAsia"/>
          <w:sz w:val="28"/>
          <w:szCs w:val="28"/>
        </w:rPr>
        <w:t>4.提供前端感知设备的新装、维护等工作；及时对系统反馈的设备离线、低电、断电、拆卸等报警信号进行现场核实并恢复正常；定期对安装感知设备的商户进行全覆盖巡查，对存在异常的设备进行维修，对现场情况发生变更的商户重新进行全景扫描。</w:t>
      </w:r>
    </w:p>
    <w:p>
      <w:pPr>
        <w:numPr>
          <w:ilvl w:val="0"/>
          <w:numId w:val="2"/>
        </w:numPr>
        <w:ind w:firstLine="560"/>
        <w:rPr>
          <w:rFonts w:hAnsi="仿宋_GB2312" w:cs="仿宋_GB2312"/>
          <w:b/>
          <w:bCs/>
          <w:sz w:val="28"/>
          <w:szCs w:val="28"/>
        </w:rPr>
      </w:pPr>
      <w:r>
        <w:rPr>
          <w:rFonts w:hint="eastAsia" w:hAnsi="仿宋_GB2312" w:cs="仿宋_GB2312"/>
          <w:b/>
          <w:bCs/>
          <w:sz w:val="28"/>
          <w:szCs w:val="28"/>
        </w:rPr>
        <w:t>项目管理要求：</w:t>
      </w:r>
    </w:p>
    <w:p>
      <w:pPr>
        <w:pStyle w:val="2"/>
        <w:numPr>
          <w:ilvl w:val="0"/>
          <w:numId w:val="3"/>
        </w:numPr>
        <w:ind w:firstLine="560"/>
        <w:rPr>
          <w:rFonts w:ascii="仿宋_GB2312" w:hAnsi="Calibri" w:eastAsia="仿宋_GB2312" w:cs="Times New Roman"/>
          <w:b/>
          <w:bCs/>
          <w:sz w:val="24"/>
          <w:szCs w:val="22"/>
          <w:lang w:val="en-US" w:bidi="ar-SA"/>
        </w:rPr>
      </w:pPr>
      <w:r>
        <w:rPr>
          <w:rFonts w:hint="eastAsia" w:ascii="仿宋_GB2312" w:hAnsi="Calibri" w:eastAsia="仿宋_GB2312" w:cs="Times New Roman"/>
          <w:b/>
          <w:bCs/>
          <w:sz w:val="28"/>
          <w:szCs w:val="28"/>
          <w:lang w:val="en-US" w:bidi="ar-SA"/>
        </w:rPr>
        <w:t>服务需求清单</w:t>
      </w:r>
      <w:r>
        <w:rPr>
          <w:rFonts w:hint="eastAsia" w:ascii="仿宋_GB2312" w:hAnsi="Calibri" w:eastAsia="仿宋_GB2312" w:cs="Times New Roman"/>
          <w:b/>
          <w:bCs/>
          <w:sz w:val="24"/>
          <w:szCs w:val="22"/>
          <w:lang w:val="en-US" w:bidi="ar-SA"/>
        </w:rPr>
        <w:t>：</w:t>
      </w:r>
    </w:p>
    <w:tbl>
      <w:tblPr>
        <w:tblStyle w:val="7"/>
        <w:tblW w:w="82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5405"/>
        <w:gridCol w:w="840"/>
        <w:gridCol w:w="11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66" w:type="dxa"/>
            <w:shd w:val="clear" w:color="auto" w:fill="auto"/>
            <w:noWrap/>
            <w:vAlign w:val="center"/>
          </w:tcPr>
          <w:p>
            <w:pPr>
              <w:ind w:firstLine="0" w:firstLineChars="0"/>
              <w:jc w:val="center"/>
              <w:rPr>
                <w:sz w:val="28"/>
                <w:szCs w:val="28"/>
              </w:rPr>
            </w:pPr>
            <w:r>
              <w:rPr>
                <w:rFonts w:hint="eastAsia"/>
                <w:sz w:val="28"/>
                <w:szCs w:val="28"/>
              </w:rPr>
              <w:t>序号</w:t>
            </w:r>
          </w:p>
        </w:tc>
        <w:tc>
          <w:tcPr>
            <w:tcW w:w="5405" w:type="dxa"/>
            <w:shd w:val="clear" w:color="auto" w:fill="auto"/>
            <w:noWrap/>
            <w:vAlign w:val="center"/>
          </w:tcPr>
          <w:p>
            <w:pPr>
              <w:ind w:firstLine="0" w:firstLineChars="0"/>
              <w:jc w:val="center"/>
              <w:rPr>
                <w:sz w:val="28"/>
                <w:szCs w:val="28"/>
              </w:rPr>
            </w:pPr>
            <w:r>
              <w:rPr>
                <w:rFonts w:hint="eastAsia"/>
                <w:sz w:val="28"/>
                <w:szCs w:val="28"/>
              </w:rPr>
              <w:t>类别名称</w:t>
            </w:r>
          </w:p>
        </w:tc>
        <w:tc>
          <w:tcPr>
            <w:tcW w:w="840" w:type="dxa"/>
            <w:shd w:val="clear" w:color="auto" w:fill="auto"/>
            <w:noWrap/>
            <w:vAlign w:val="center"/>
          </w:tcPr>
          <w:p>
            <w:pPr>
              <w:ind w:firstLine="0" w:firstLineChars="0"/>
              <w:jc w:val="center"/>
              <w:rPr>
                <w:sz w:val="28"/>
                <w:szCs w:val="28"/>
              </w:rPr>
            </w:pPr>
            <w:r>
              <w:rPr>
                <w:rFonts w:hint="eastAsia"/>
                <w:sz w:val="28"/>
                <w:szCs w:val="28"/>
              </w:rPr>
              <w:t>数量</w:t>
            </w:r>
          </w:p>
        </w:tc>
        <w:tc>
          <w:tcPr>
            <w:tcW w:w="1124" w:type="dxa"/>
            <w:shd w:val="clear" w:color="auto" w:fill="auto"/>
            <w:noWrap/>
            <w:vAlign w:val="center"/>
          </w:tcPr>
          <w:p>
            <w:pPr>
              <w:ind w:firstLine="0" w:firstLineChars="0"/>
              <w:jc w:val="center"/>
              <w:rPr>
                <w:sz w:val="28"/>
                <w:szCs w:val="28"/>
              </w:rPr>
            </w:pPr>
            <w:r>
              <w:rPr>
                <w:rFonts w:hint="eastAsia"/>
                <w:sz w:val="28"/>
                <w:szCs w:val="28"/>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66" w:type="dxa"/>
            <w:shd w:val="clear" w:color="auto" w:fill="auto"/>
            <w:noWrap/>
            <w:vAlign w:val="center"/>
          </w:tcPr>
          <w:p>
            <w:pPr>
              <w:ind w:firstLine="0" w:firstLineChars="0"/>
              <w:jc w:val="center"/>
              <w:rPr>
                <w:sz w:val="28"/>
                <w:szCs w:val="28"/>
              </w:rPr>
            </w:pPr>
            <w:r>
              <w:rPr>
                <w:rFonts w:hint="eastAsia"/>
                <w:sz w:val="28"/>
                <w:szCs w:val="28"/>
              </w:rPr>
              <w:t>1</w:t>
            </w:r>
          </w:p>
        </w:tc>
        <w:tc>
          <w:tcPr>
            <w:tcW w:w="5405" w:type="dxa"/>
            <w:shd w:val="clear" w:color="auto" w:fill="auto"/>
            <w:vAlign w:val="center"/>
          </w:tcPr>
          <w:p>
            <w:pPr>
              <w:ind w:firstLine="0" w:firstLineChars="0"/>
              <w:rPr>
                <w:sz w:val="28"/>
                <w:szCs w:val="28"/>
              </w:rPr>
            </w:pPr>
            <w:r>
              <w:rPr>
                <w:rFonts w:hint="eastAsia"/>
                <w:sz w:val="28"/>
                <w:szCs w:val="28"/>
              </w:rPr>
              <w:t>福保街道“三小”场所智慧安全监管平台</w:t>
            </w:r>
          </w:p>
        </w:tc>
        <w:tc>
          <w:tcPr>
            <w:tcW w:w="840" w:type="dxa"/>
            <w:shd w:val="clear" w:color="auto" w:fill="auto"/>
            <w:vAlign w:val="center"/>
          </w:tcPr>
          <w:p>
            <w:pPr>
              <w:ind w:firstLine="0" w:firstLineChars="0"/>
              <w:jc w:val="center"/>
              <w:rPr>
                <w:sz w:val="28"/>
                <w:szCs w:val="28"/>
              </w:rPr>
            </w:pPr>
            <w:r>
              <w:rPr>
                <w:rFonts w:hint="eastAsia"/>
                <w:sz w:val="28"/>
                <w:szCs w:val="28"/>
              </w:rPr>
              <w:t>1</w:t>
            </w:r>
          </w:p>
        </w:tc>
        <w:tc>
          <w:tcPr>
            <w:tcW w:w="1124" w:type="dxa"/>
            <w:shd w:val="clear" w:color="auto" w:fill="auto"/>
            <w:noWrap/>
            <w:vAlign w:val="center"/>
          </w:tcPr>
          <w:p>
            <w:pPr>
              <w:ind w:firstLine="0" w:firstLineChars="0"/>
              <w:jc w:val="center"/>
              <w:rPr>
                <w:sz w:val="28"/>
                <w:szCs w:val="28"/>
              </w:rPr>
            </w:pPr>
            <w:r>
              <w:rPr>
                <w:rFonts w:hint="eastAsia"/>
                <w:sz w:val="28"/>
                <w:szCs w:val="28"/>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866" w:type="dxa"/>
            <w:shd w:val="clear" w:color="auto" w:fill="auto"/>
            <w:noWrap/>
            <w:vAlign w:val="center"/>
          </w:tcPr>
          <w:p>
            <w:pPr>
              <w:ind w:firstLine="0" w:firstLineChars="0"/>
              <w:jc w:val="center"/>
              <w:rPr>
                <w:sz w:val="28"/>
                <w:szCs w:val="28"/>
              </w:rPr>
            </w:pPr>
            <w:r>
              <w:rPr>
                <w:rFonts w:hint="eastAsia"/>
                <w:sz w:val="28"/>
                <w:szCs w:val="28"/>
              </w:rPr>
              <w:t>2</w:t>
            </w:r>
          </w:p>
        </w:tc>
        <w:tc>
          <w:tcPr>
            <w:tcW w:w="5405" w:type="dxa"/>
            <w:shd w:val="clear" w:color="auto" w:fill="auto"/>
            <w:vAlign w:val="center"/>
          </w:tcPr>
          <w:p>
            <w:pPr>
              <w:ind w:firstLine="0" w:firstLineChars="0"/>
              <w:rPr>
                <w:sz w:val="28"/>
                <w:szCs w:val="28"/>
              </w:rPr>
            </w:pPr>
            <w:r>
              <w:rPr>
                <w:rFonts w:hint="eastAsia"/>
                <w:sz w:val="28"/>
                <w:szCs w:val="28"/>
              </w:rPr>
              <w:t>客户端</w:t>
            </w:r>
          </w:p>
        </w:tc>
        <w:tc>
          <w:tcPr>
            <w:tcW w:w="840" w:type="dxa"/>
            <w:shd w:val="clear" w:color="auto" w:fill="auto"/>
            <w:vAlign w:val="center"/>
          </w:tcPr>
          <w:p>
            <w:pPr>
              <w:ind w:firstLine="0" w:firstLineChars="0"/>
              <w:jc w:val="center"/>
              <w:rPr>
                <w:sz w:val="28"/>
                <w:szCs w:val="28"/>
              </w:rPr>
            </w:pPr>
            <w:r>
              <w:rPr>
                <w:rFonts w:hint="eastAsia"/>
                <w:sz w:val="28"/>
                <w:szCs w:val="28"/>
              </w:rPr>
              <w:t>1</w:t>
            </w:r>
          </w:p>
        </w:tc>
        <w:tc>
          <w:tcPr>
            <w:tcW w:w="1124" w:type="dxa"/>
            <w:shd w:val="clear" w:color="auto" w:fill="auto"/>
            <w:noWrap/>
            <w:vAlign w:val="center"/>
          </w:tcPr>
          <w:p>
            <w:pPr>
              <w:ind w:firstLine="0" w:firstLineChars="0"/>
              <w:jc w:val="center"/>
              <w:rPr>
                <w:sz w:val="28"/>
                <w:szCs w:val="28"/>
              </w:rPr>
            </w:pPr>
            <w:r>
              <w:rPr>
                <w:rFonts w:hint="eastAsia"/>
                <w:sz w:val="28"/>
                <w:szCs w:val="28"/>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66" w:type="dxa"/>
            <w:shd w:val="clear" w:color="auto" w:fill="auto"/>
            <w:noWrap/>
            <w:vAlign w:val="center"/>
          </w:tcPr>
          <w:p>
            <w:pPr>
              <w:ind w:firstLine="0" w:firstLineChars="0"/>
              <w:jc w:val="center"/>
              <w:rPr>
                <w:sz w:val="28"/>
                <w:szCs w:val="28"/>
              </w:rPr>
            </w:pPr>
            <w:r>
              <w:rPr>
                <w:rFonts w:hint="eastAsia"/>
                <w:sz w:val="28"/>
                <w:szCs w:val="28"/>
              </w:rPr>
              <w:t>3</w:t>
            </w:r>
          </w:p>
        </w:tc>
        <w:tc>
          <w:tcPr>
            <w:tcW w:w="5405" w:type="dxa"/>
            <w:shd w:val="clear" w:color="auto" w:fill="auto"/>
            <w:vAlign w:val="center"/>
          </w:tcPr>
          <w:p>
            <w:pPr>
              <w:ind w:firstLine="0" w:firstLineChars="0"/>
              <w:rPr>
                <w:sz w:val="28"/>
                <w:szCs w:val="28"/>
              </w:rPr>
            </w:pPr>
            <w:r>
              <w:rPr>
                <w:rFonts w:hint="eastAsia"/>
                <w:sz w:val="28"/>
                <w:szCs w:val="28"/>
              </w:rPr>
              <w:t>硬件设备租赁</w:t>
            </w:r>
          </w:p>
        </w:tc>
        <w:tc>
          <w:tcPr>
            <w:tcW w:w="840" w:type="dxa"/>
            <w:shd w:val="clear" w:color="auto" w:fill="auto"/>
            <w:vAlign w:val="center"/>
          </w:tcPr>
          <w:p>
            <w:pPr>
              <w:ind w:firstLine="0" w:firstLineChars="0"/>
              <w:jc w:val="center"/>
              <w:rPr>
                <w:sz w:val="28"/>
                <w:szCs w:val="28"/>
              </w:rPr>
            </w:pPr>
            <w:r>
              <w:rPr>
                <w:rFonts w:hint="eastAsia"/>
                <w:sz w:val="28"/>
                <w:szCs w:val="28"/>
              </w:rPr>
              <w:t>500</w:t>
            </w:r>
          </w:p>
        </w:tc>
        <w:tc>
          <w:tcPr>
            <w:tcW w:w="1124" w:type="dxa"/>
            <w:shd w:val="clear" w:color="auto" w:fill="auto"/>
            <w:noWrap/>
            <w:vAlign w:val="center"/>
          </w:tcPr>
          <w:p>
            <w:pPr>
              <w:ind w:firstLine="0" w:firstLineChars="0"/>
              <w:jc w:val="center"/>
              <w:rPr>
                <w:sz w:val="28"/>
                <w:szCs w:val="28"/>
              </w:rPr>
            </w:pPr>
            <w:r>
              <w:rPr>
                <w:rFonts w:hint="eastAsia"/>
                <w:sz w:val="28"/>
                <w:szCs w:val="28"/>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66" w:type="dxa"/>
            <w:shd w:val="clear" w:color="auto" w:fill="auto"/>
            <w:noWrap/>
            <w:vAlign w:val="center"/>
          </w:tcPr>
          <w:p>
            <w:pPr>
              <w:ind w:firstLine="0" w:firstLineChars="0"/>
              <w:jc w:val="center"/>
              <w:rPr>
                <w:sz w:val="28"/>
                <w:szCs w:val="28"/>
              </w:rPr>
            </w:pPr>
            <w:r>
              <w:rPr>
                <w:rFonts w:hint="eastAsia"/>
                <w:sz w:val="28"/>
                <w:szCs w:val="28"/>
              </w:rPr>
              <w:t>4</w:t>
            </w:r>
          </w:p>
        </w:tc>
        <w:tc>
          <w:tcPr>
            <w:tcW w:w="5405" w:type="dxa"/>
            <w:shd w:val="clear" w:color="auto" w:fill="auto"/>
            <w:vAlign w:val="center"/>
          </w:tcPr>
          <w:p>
            <w:pPr>
              <w:ind w:firstLine="0" w:firstLineChars="0"/>
              <w:rPr>
                <w:sz w:val="28"/>
                <w:szCs w:val="28"/>
              </w:rPr>
            </w:pPr>
            <w:r>
              <w:rPr>
                <w:rFonts w:hint="eastAsia"/>
                <w:sz w:val="28"/>
                <w:szCs w:val="28"/>
              </w:rPr>
              <w:t>三小场所全景扫描</w:t>
            </w:r>
          </w:p>
        </w:tc>
        <w:tc>
          <w:tcPr>
            <w:tcW w:w="840" w:type="dxa"/>
            <w:shd w:val="clear" w:color="auto" w:fill="auto"/>
            <w:vAlign w:val="center"/>
          </w:tcPr>
          <w:p>
            <w:pPr>
              <w:ind w:firstLine="0" w:firstLineChars="0"/>
              <w:jc w:val="center"/>
              <w:rPr>
                <w:sz w:val="28"/>
                <w:szCs w:val="28"/>
              </w:rPr>
            </w:pPr>
            <w:r>
              <w:rPr>
                <w:rFonts w:hint="eastAsia"/>
                <w:sz w:val="28"/>
                <w:szCs w:val="28"/>
              </w:rPr>
              <w:t>500</w:t>
            </w:r>
          </w:p>
        </w:tc>
        <w:tc>
          <w:tcPr>
            <w:tcW w:w="1124" w:type="dxa"/>
            <w:shd w:val="clear" w:color="auto" w:fill="auto"/>
            <w:noWrap/>
            <w:vAlign w:val="center"/>
          </w:tcPr>
          <w:p>
            <w:pPr>
              <w:ind w:firstLine="0" w:firstLineChars="0"/>
              <w:jc w:val="center"/>
              <w:rPr>
                <w:sz w:val="28"/>
                <w:szCs w:val="28"/>
              </w:rPr>
            </w:pPr>
            <w:r>
              <w:rPr>
                <w:rFonts w:hint="eastAsia"/>
                <w:sz w:val="28"/>
                <w:szCs w:val="28"/>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66" w:type="dxa"/>
            <w:shd w:val="clear" w:color="auto" w:fill="auto"/>
            <w:noWrap/>
            <w:vAlign w:val="center"/>
          </w:tcPr>
          <w:p>
            <w:pPr>
              <w:ind w:firstLine="0" w:firstLineChars="0"/>
              <w:jc w:val="center"/>
              <w:rPr>
                <w:sz w:val="28"/>
                <w:szCs w:val="28"/>
              </w:rPr>
            </w:pPr>
            <w:r>
              <w:rPr>
                <w:rFonts w:hint="eastAsia"/>
                <w:sz w:val="28"/>
                <w:szCs w:val="28"/>
              </w:rPr>
              <w:t>5</w:t>
            </w:r>
          </w:p>
        </w:tc>
        <w:tc>
          <w:tcPr>
            <w:tcW w:w="5405" w:type="dxa"/>
            <w:shd w:val="clear" w:color="auto" w:fill="auto"/>
            <w:vAlign w:val="center"/>
          </w:tcPr>
          <w:p>
            <w:pPr>
              <w:ind w:firstLine="0" w:firstLineChars="0"/>
              <w:rPr>
                <w:sz w:val="28"/>
                <w:szCs w:val="28"/>
              </w:rPr>
            </w:pPr>
            <w:r>
              <w:rPr>
                <w:rFonts w:hint="eastAsia"/>
                <w:sz w:val="28"/>
                <w:szCs w:val="28"/>
              </w:rPr>
              <w:t>安装、调试</w:t>
            </w:r>
          </w:p>
        </w:tc>
        <w:tc>
          <w:tcPr>
            <w:tcW w:w="840" w:type="dxa"/>
            <w:shd w:val="clear" w:color="auto" w:fill="auto"/>
            <w:vAlign w:val="center"/>
          </w:tcPr>
          <w:p>
            <w:pPr>
              <w:ind w:firstLine="0" w:firstLineChars="0"/>
              <w:jc w:val="center"/>
              <w:rPr>
                <w:sz w:val="28"/>
                <w:szCs w:val="28"/>
              </w:rPr>
            </w:pPr>
            <w:r>
              <w:rPr>
                <w:rFonts w:hint="eastAsia"/>
                <w:sz w:val="28"/>
                <w:szCs w:val="28"/>
              </w:rPr>
              <w:t>500</w:t>
            </w:r>
          </w:p>
        </w:tc>
        <w:tc>
          <w:tcPr>
            <w:tcW w:w="1124" w:type="dxa"/>
            <w:shd w:val="clear" w:color="auto" w:fill="auto"/>
            <w:noWrap/>
            <w:vAlign w:val="center"/>
          </w:tcPr>
          <w:p>
            <w:pPr>
              <w:ind w:firstLine="0" w:firstLineChars="0"/>
              <w:jc w:val="center"/>
              <w:rPr>
                <w:sz w:val="28"/>
                <w:szCs w:val="28"/>
              </w:rPr>
            </w:pPr>
            <w:r>
              <w:rPr>
                <w:rFonts w:hint="eastAsia"/>
                <w:sz w:val="28"/>
                <w:szCs w:val="28"/>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66" w:type="dxa"/>
            <w:shd w:val="clear" w:color="auto" w:fill="auto"/>
            <w:noWrap/>
            <w:vAlign w:val="center"/>
          </w:tcPr>
          <w:p>
            <w:pPr>
              <w:ind w:firstLine="0" w:firstLineChars="0"/>
              <w:jc w:val="center"/>
              <w:rPr>
                <w:sz w:val="28"/>
                <w:szCs w:val="28"/>
              </w:rPr>
            </w:pPr>
            <w:r>
              <w:rPr>
                <w:rFonts w:hint="eastAsia"/>
                <w:sz w:val="28"/>
                <w:szCs w:val="28"/>
              </w:rPr>
              <w:t>6</w:t>
            </w:r>
          </w:p>
        </w:tc>
        <w:tc>
          <w:tcPr>
            <w:tcW w:w="5405" w:type="dxa"/>
            <w:shd w:val="clear" w:color="auto" w:fill="auto"/>
            <w:vAlign w:val="center"/>
          </w:tcPr>
          <w:p>
            <w:pPr>
              <w:ind w:firstLine="0" w:firstLineChars="0"/>
              <w:rPr>
                <w:sz w:val="28"/>
                <w:szCs w:val="28"/>
              </w:rPr>
            </w:pPr>
            <w:r>
              <w:rPr>
                <w:rFonts w:hint="eastAsia"/>
                <w:sz w:val="28"/>
                <w:szCs w:val="28"/>
              </w:rPr>
              <w:t>运行维护服务</w:t>
            </w:r>
          </w:p>
        </w:tc>
        <w:tc>
          <w:tcPr>
            <w:tcW w:w="840" w:type="dxa"/>
            <w:shd w:val="clear" w:color="auto" w:fill="auto"/>
            <w:noWrap/>
            <w:vAlign w:val="center"/>
          </w:tcPr>
          <w:p>
            <w:pPr>
              <w:ind w:firstLine="0" w:firstLineChars="0"/>
              <w:jc w:val="center"/>
              <w:rPr>
                <w:rFonts w:hint="eastAsia" w:eastAsia="仿宋_GB2312"/>
                <w:sz w:val="28"/>
                <w:szCs w:val="28"/>
                <w:lang w:val="en-US" w:eastAsia="zh-CN"/>
              </w:rPr>
            </w:pPr>
            <w:r>
              <w:rPr>
                <w:rFonts w:hint="eastAsia"/>
                <w:sz w:val="28"/>
                <w:szCs w:val="28"/>
                <w:lang w:val="en-US" w:eastAsia="zh-CN"/>
              </w:rPr>
              <w:t>1</w:t>
            </w:r>
          </w:p>
        </w:tc>
        <w:tc>
          <w:tcPr>
            <w:tcW w:w="1124" w:type="dxa"/>
            <w:shd w:val="clear" w:color="auto" w:fill="auto"/>
            <w:noWrap/>
            <w:vAlign w:val="center"/>
          </w:tcPr>
          <w:p>
            <w:pPr>
              <w:ind w:firstLine="0" w:firstLineChars="0"/>
              <w:jc w:val="center"/>
              <w:rPr>
                <w:sz w:val="28"/>
                <w:szCs w:val="28"/>
              </w:rPr>
            </w:pPr>
            <w:r>
              <w:rPr>
                <w:rFonts w:hint="eastAsia"/>
                <w:sz w:val="28"/>
                <w:szCs w:val="28"/>
              </w:rPr>
              <w:t>每/年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866" w:type="dxa"/>
            <w:shd w:val="clear" w:color="auto" w:fill="auto"/>
            <w:noWrap/>
            <w:vAlign w:val="center"/>
          </w:tcPr>
          <w:p>
            <w:pPr>
              <w:ind w:firstLine="0" w:firstLineChars="0"/>
              <w:jc w:val="center"/>
              <w:rPr>
                <w:sz w:val="28"/>
                <w:szCs w:val="28"/>
              </w:rPr>
            </w:pPr>
            <w:r>
              <w:rPr>
                <w:rFonts w:hint="eastAsia"/>
                <w:sz w:val="28"/>
                <w:szCs w:val="28"/>
              </w:rPr>
              <w:t>7</w:t>
            </w:r>
          </w:p>
        </w:tc>
        <w:tc>
          <w:tcPr>
            <w:tcW w:w="5405" w:type="dxa"/>
            <w:shd w:val="clear" w:color="auto" w:fill="auto"/>
            <w:noWrap/>
            <w:vAlign w:val="center"/>
          </w:tcPr>
          <w:p>
            <w:pPr>
              <w:ind w:firstLine="0" w:firstLineChars="0"/>
              <w:rPr>
                <w:sz w:val="28"/>
                <w:szCs w:val="28"/>
              </w:rPr>
            </w:pPr>
            <w:r>
              <w:rPr>
                <w:rFonts w:hint="eastAsia"/>
                <w:sz w:val="28"/>
                <w:szCs w:val="28"/>
              </w:rPr>
              <w:t>7*24小值守服务费</w:t>
            </w:r>
          </w:p>
        </w:tc>
        <w:tc>
          <w:tcPr>
            <w:tcW w:w="840" w:type="dxa"/>
            <w:shd w:val="clear" w:color="auto" w:fill="auto"/>
            <w:vAlign w:val="center"/>
          </w:tcPr>
          <w:p>
            <w:pPr>
              <w:ind w:firstLine="0" w:firstLineChars="0"/>
              <w:jc w:val="center"/>
              <w:rPr>
                <w:rFonts w:hint="eastAsia" w:eastAsia="仿宋_GB2312"/>
                <w:sz w:val="28"/>
                <w:szCs w:val="28"/>
                <w:lang w:val="en-US" w:eastAsia="zh-CN"/>
              </w:rPr>
            </w:pPr>
            <w:r>
              <w:rPr>
                <w:rFonts w:hint="eastAsia"/>
                <w:sz w:val="28"/>
                <w:szCs w:val="28"/>
                <w:lang w:val="en-US" w:eastAsia="zh-CN"/>
              </w:rPr>
              <w:t>1</w:t>
            </w:r>
          </w:p>
        </w:tc>
        <w:tc>
          <w:tcPr>
            <w:tcW w:w="1124" w:type="dxa"/>
            <w:shd w:val="clear" w:color="auto" w:fill="auto"/>
            <w:noWrap/>
            <w:vAlign w:val="center"/>
          </w:tcPr>
          <w:p>
            <w:pPr>
              <w:ind w:firstLine="0" w:firstLineChars="0"/>
              <w:jc w:val="center"/>
              <w:rPr>
                <w:sz w:val="28"/>
                <w:szCs w:val="28"/>
              </w:rPr>
            </w:pPr>
            <w:r>
              <w:rPr>
                <w:rFonts w:hint="eastAsia"/>
                <w:sz w:val="28"/>
                <w:szCs w:val="28"/>
              </w:rPr>
              <w:t>每/年</w:t>
            </w:r>
          </w:p>
        </w:tc>
      </w:tr>
    </w:tbl>
    <w:p>
      <w:pPr>
        <w:spacing w:line="360" w:lineRule="auto"/>
        <w:ind w:left="640" w:leftChars="200" w:firstLine="0" w:firstLineChars="0"/>
        <w:rPr>
          <w:b/>
          <w:bCs/>
          <w:sz w:val="28"/>
          <w:szCs w:val="28"/>
        </w:rPr>
      </w:pPr>
      <w:r>
        <w:rPr>
          <w:b/>
          <w:bCs/>
          <w:sz w:val="28"/>
          <w:szCs w:val="28"/>
        </w:rPr>
        <w:t>2.</w:t>
      </w:r>
      <w:r>
        <w:rPr>
          <w:rFonts w:hint="eastAsia"/>
          <w:b/>
          <w:bCs/>
          <w:sz w:val="28"/>
          <w:szCs w:val="28"/>
        </w:rPr>
        <w:t>服务技术指标要求：</w:t>
      </w:r>
    </w:p>
    <w:tbl>
      <w:tblPr>
        <w:tblStyle w:val="7"/>
        <w:tblW w:w="8548" w:type="dxa"/>
        <w:tblInd w:w="-26" w:type="dxa"/>
        <w:tblLayout w:type="fixed"/>
        <w:tblCellMar>
          <w:top w:w="0" w:type="dxa"/>
          <w:left w:w="108" w:type="dxa"/>
          <w:bottom w:w="0" w:type="dxa"/>
          <w:right w:w="108" w:type="dxa"/>
        </w:tblCellMar>
      </w:tblPr>
      <w:tblGrid>
        <w:gridCol w:w="733"/>
        <w:gridCol w:w="1076"/>
        <w:gridCol w:w="950"/>
        <w:gridCol w:w="5789"/>
      </w:tblGrid>
      <w:tr>
        <w:tblPrEx>
          <w:tblCellMar>
            <w:top w:w="0" w:type="dxa"/>
            <w:left w:w="108" w:type="dxa"/>
            <w:bottom w:w="0" w:type="dxa"/>
            <w:right w:w="108" w:type="dxa"/>
          </w:tblCellMar>
        </w:tblPrEx>
        <w:trPr>
          <w:trHeight w:val="318"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宋体" w:hAnsi="宋体" w:eastAsia="宋体" w:cs="宋体"/>
                <w:b/>
                <w:bCs/>
                <w:color w:val="000000"/>
                <w:sz w:val="21"/>
                <w:szCs w:val="21"/>
              </w:rPr>
            </w:pPr>
            <w:r>
              <w:rPr>
                <w:rFonts w:hint="eastAsia" w:ascii="宋体" w:hAnsi="宋体" w:eastAsia="宋体" w:cs="宋体"/>
                <w:b/>
                <w:bCs/>
                <w:color w:val="000000"/>
                <w:kern w:val="0"/>
                <w:sz w:val="21"/>
                <w:szCs w:val="21"/>
                <w:lang w:bidi="ar"/>
              </w:rPr>
              <w:t>序号</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宋体" w:hAnsi="宋体" w:eastAsia="宋体" w:cs="宋体"/>
                <w:b/>
                <w:bCs/>
                <w:color w:val="000000"/>
                <w:sz w:val="21"/>
                <w:szCs w:val="21"/>
              </w:rPr>
            </w:pPr>
            <w:r>
              <w:rPr>
                <w:rFonts w:hint="eastAsia" w:ascii="宋体" w:hAnsi="宋体" w:eastAsia="宋体" w:cs="宋体"/>
                <w:b/>
                <w:bCs/>
                <w:color w:val="000000"/>
                <w:kern w:val="0"/>
                <w:sz w:val="21"/>
                <w:szCs w:val="21"/>
                <w:lang w:bidi="ar"/>
              </w:rPr>
              <w:t>类别名称</w:t>
            </w:r>
          </w:p>
        </w:tc>
        <w:tc>
          <w:tcPr>
            <w:tcW w:w="5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宋体" w:hAnsi="宋体" w:eastAsia="宋体" w:cs="宋体"/>
                <w:b/>
                <w:bCs/>
                <w:color w:val="000000"/>
                <w:sz w:val="21"/>
                <w:szCs w:val="21"/>
              </w:rPr>
            </w:pPr>
            <w:r>
              <w:rPr>
                <w:rFonts w:hint="eastAsia" w:ascii="宋体" w:hAnsi="宋体" w:eastAsia="宋体" w:cs="宋体"/>
                <w:b/>
                <w:bCs/>
                <w:color w:val="000000"/>
                <w:kern w:val="0"/>
                <w:sz w:val="21"/>
                <w:szCs w:val="21"/>
                <w:lang w:bidi="ar"/>
              </w:rPr>
              <w:t>服务技术指标</w:t>
            </w:r>
          </w:p>
        </w:tc>
      </w:tr>
      <w:tr>
        <w:tblPrEx>
          <w:tblCellMar>
            <w:top w:w="0" w:type="dxa"/>
            <w:left w:w="108" w:type="dxa"/>
            <w:bottom w:w="0" w:type="dxa"/>
            <w:right w:w="108" w:type="dxa"/>
          </w:tblCellMar>
        </w:tblPrEx>
        <w:trPr>
          <w:trHeight w:val="524"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1</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福保街道“三小”场所智慧安全监管平台</w:t>
            </w:r>
          </w:p>
        </w:tc>
        <w:tc>
          <w:tcPr>
            <w:tcW w:w="57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numPr>
                <w:ilvl w:val="0"/>
                <w:numId w:val="0"/>
              </w:numPr>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实时报警模块：展示告警类型，店铺近景，商户名称，街道，商户地址，处置状态，告警时间等告警详情数据；</w:t>
            </w:r>
          </w:p>
          <w:p>
            <w:pPr>
              <w:numPr>
                <w:ilvl w:val="0"/>
                <w:numId w:val="0"/>
              </w:numPr>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已处理报警类型模块：当前街道告警统计，当前街道告警统计（福田区/**街道）</w:t>
            </w:r>
          </w:p>
          <w:p>
            <w:pPr>
              <w:numPr>
                <w:ilvl w:val="0"/>
                <w:numId w:val="0"/>
              </w:numPr>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告警总数（已处置，待处置）/（拆卸报警数，离线报警数，留宿报警数）各类型报警待处置数；</w:t>
            </w:r>
          </w:p>
          <w:p>
            <w:pPr>
              <w:numPr>
                <w:ilvl w:val="0"/>
                <w:numId w:val="0"/>
              </w:numPr>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三小场所详情：商户名称，法人，面积，地址，社区，编码，告警次数，联系电话、工商信息:营业执照、周边信息查询，自定义范围显示周边监控、POI点、BIM模型展示、展示BIM模型及模型属性、实现模型与属性数据关联展示；</w:t>
            </w:r>
          </w:p>
          <w:p>
            <w:pPr>
              <w:numPr>
                <w:ilvl w:val="0"/>
                <w:numId w:val="0"/>
              </w:numPr>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点云信息模块：全文检索 摄像头数，企业数，巡防员数，建筑数，超市数，餐饮数；</w:t>
            </w:r>
          </w:p>
          <w:p>
            <w:pPr>
              <w:numPr>
                <w:ilvl w:val="0"/>
                <w:numId w:val="0"/>
              </w:numPr>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数据统计模块：频发告警商户：显示频发告警商户，推送商铺名称+社区+报警次数+告警类型+时间+位置信息；</w:t>
            </w:r>
          </w:p>
          <w:p>
            <w:pPr>
              <w:numPr>
                <w:ilvl w:val="0"/>
                <w:numId w:val="0"/>
              </w:numPr>
              <w:bidi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用户管理模块：用户管理列表：用户编码/用户姓名/手机号码/账号状态/创建时间/操作（查看+修改）；</w:t>
            </w:r>
          </w:p>
          <w:p>
            <w:pPr>
              <w:numPr>
                <w:ilvl w:val="0"/>
                <w:numId w:val="0"/>
              </w:numPr>
              <w:bidi w:val="0"/>
              <w:jc w:val="left"/>
              <w:rPr>
                <w:rFonts w:ascii="宋体" w:hAnsi="宋体" w:eastAsia="宋体" w:cs="宋体"/>
                <w:color w:val="000000"/>
                <w:szCs w:val="21"/>
              </w:rPr>
            </w:pP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rPr>
              <w:t>监管账号管理：账号申请：监管人姓名，监管人员电话号码，申请人姓名，申请人电话，监管范围，是否实时推送报警信息。</w:t>
            </w:r>
          </w:p>
        </w:tc>
      </w:tr>
      <w:tr>
        <w:tblPrEx>
          <w:tblCellMar>
            <w:top w:w="0" w:type="dxa"/>
            <w:left w:w="108" w:type="dxa"/>
            <w:bottom w:w="0" w:type="dxa"/>
            <w:right w:w="108" w:type="dxa"/>
          </w:tblCellMar>
        </w:tblPrEx>
        <w:trPr>
          <w:trHeight w:val="318"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2</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客户端</w:t>
            </w:r>
          </w:p>
        </w:tc>
        <w:tc>
          <w:tcPr>
            <w:tcW w:w="57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ind w:firstLine="0" w:firstLineChars="0"/>
              <w:jc w:val="left"/>
              <w:rPr>
                <w:rFonts w:ascii="宋体" w:hAnsi="宋体" w:eastAsia="宋体" w:cs="宋体"/>
                <w:sz w:val="21"/>
                <w:szCs w:val="21"/>
              </w:rPr>
            </w:pPr>
            <w:r>
              <w:rPr>
                <w:rFonts w:ascii="宋体" w:hAnsi="宋体" w:eastAsia="宋体" w:cs="宋体"/>
                <w:sz w:val="21"/>
                <w:szCs w:val="21"/>
              </w:rPr>
              <w:t>1</w:t>
            </w:r>
            <w:r>
              <w:rPr>
                <w:rFonts w:hint="eastAsia" w:ascii="宋体" w:hAnsi="宋体" w:eastAsia="宋体" w:cs="宋体"/>
                <w:sz w:val="21"/>
                <w:szCs w:val="21"/>
              </w:rPr>
              <w:t>、登录：实现执法者注册：姓名，工号，部门，联系方式，登录账号，密码，确认密码；</w:t>
            </w:r>
          </w:p>
          <w:p>
            <w:pPr>
              <w:ind w:firstLine="0" w:firstLineChars="0"/>
              <w:jc w:val="left"/>
              <w:rPr>
                <w:rFonts w:ascii="宋体" w:hAnsi="宋体" w:eastAsia="宋体" w:cs="宋体"/>
                <w:sz w:val="21"/>
                <w:szCs w:val="21"/>
              </w:rPr>
            </w:pPr>
            <w:r>
              <w:rPr>
                <w:rFonts w:ascii="宋体" w:hAnsi="宋体" w:eastAsia="宋体" w:cs="宋体"/>
                <w:sz w:val="21"/>
                <w:szCs w:val="21"/>
              </w:rPr>
              <w:t>2</w:t>
            </w:r>
            <w:r>
              <w:rPr>
                <w:rFonts w:hint="eastAsia" w:ascii="宋体" w:hAnsi="宋体" w:eastAsia="宋体" w:cs="宋体"/>
                <w:sz w:val="21"/>
                <w:szCs w:val="21"/>
              </w:rPr>
              <w:t>、注册：实现执法者注册：姓名，工号，部门，联系方式，登录账号，密码，确认密码；</w:t>
            </w:r>
          </w:p>
          <w:p>
            <w:pPr>
              <w:ind w:firstLine="0" w:firstLineChars="0"/>
              <w:jc w:val="left"/>
            </w:pPr>
            <w:r>
              <w:rPr>
                <w:rFonts w:ascii="宋体" w:hAnsi="宋体" w:eastAsia="宋体" w:cs="宋体"/>
                <w:sz w:val="21"/>
                <w:szCs w:val="21"/>
              </w:rPr>
              <w:t>3</w:t>
            </w:r>
            <w:r>
              <w:rPr>
                <w:rFonts w:hint="eastAsia" w:ascii="宋体" w:hAnsi="宋体" w:eastAsia="宋体" w:cs="宋体"/>
                <w:sz w:val="21"/>
                <w:szCs w:val="21"/>
              </w:rPr>
              <w:t>、商户注册：姓名，电话，身份证号码，身份证号码，法人照片，店铺名称，店铺地址，商户编号，设备编码，店铺照片；</w:t>
            </w:r>
          </w:p>
        </w:tc>
      </w:tr>
      <w:tr>
        <w:tblPrEx>
          <w:tblCellMar>
            <w:top w:w="0" w:type="dxa"/>
            <w:left w:w="108" w:type="dxa"/>
            <w:bottom w:w="0" w:type="dxa"/>
            <w:right w:w="108" w:type="dxa"/>
          </w:tblCellMar>
        </w:tblPrEx>
        <w:trPr>
          <w:trHeight w:val="288" w:hRule="atLeast"/>
        </w:trPr>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10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硬件设备租赁</w:t>
            </w:r>
          </w:p>
        </w:tc>
        <w:tc>
          <w:tcPr>
            <w:tcW w:w="9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三小场所AI摄像机</w:t>
            </w: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textAlignment w:val="bottom"/>
              <w:rPr>
                <w:rFonts w:ascii="宋体" w:hAnsi="宋体" w:eastAsia="宋体" w:cs="宋体"/>
                <w:color w:val="000000"/>
                <w:sz w:val="21"/>
                <w:szCs w:val="21"/>
              </w:rPr>
            </w:pPr>
            <w:r>
              <w:rPr>
                <w:rFonts w:hint="eastAsia" w:ascii="宋体" w:hAnsi="宋体" w:eastAsia="宋体" w:cs="宋体"/>
                <w:color w:val="000000"/>
                <w:kern w:val="0"/>
                <w:sz w:val="21"/>
                <w:szCs w:val="21"/>
                <w:lang w:bidi="ar"/>
              </w:rPr>
              <w:t>1、支持通过无线方式或有线方式连接网络；</w:t>
            </w:r>
          </w:p>
        </w:tc>
      </w:tr>
      <w:tr>
        <w:tblPrEx>
          <w:tblCellMar>
            <w:top w:w="0" w:type="dxa"/>
            <w:left w:w="108" w:type="dxa"/>
            <w:bottom w:w="0" w:type="dxa"/>
            <w:right w:w="108" w:type="dxa"/>
          </w:tblCellMar>
        </w:tblPrEx>
        <w:trPr>
          <w:trHeight w:val="288"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20"/>
              <w:jc w:val="center"/>
              <w:rPr>
                <w:rFonts w:ascii="宋体" w:hAnsi="宋体" w:eastAsia="宋体" w:cs="宋体"/>
                <w:color w:val="000000"/>
                <w:sz w:val="21"/>
                <w:szCs w:val="21"/>
              </w:rPr>
            </w:p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textAlignment w:val="bottom"/>
              <w:rPr>
                <w:rFonts w:ascii="宋体" w:hAnsi="宋体" w:eastAsia="宋体" w:cs="宋体"/>
                <w:color w:val="000000"/>
                <w:sz w:val="21"/>
                <w:szCs w:val="21"/>
              </w:rPr>
            </w:pPr>
            <w:r>
              <w:rPr>
                <w:rFonts w:hint="eastAsia" w:ascii="宋体" w:hAnsi="宋体" w:eastAsia="宋体" w:cs="宋体"/>
                <w:color w:val="000000"/>
                <w:kern w:val="0"/>
                <w:sz w:val="21"/>
                <w:szCs w:val="21"/>
                <w:lang w:bidi="ar"/>
              </w:rPr>
              <w:t>2、最大支持分辨率2304×1296、帧率25fps；</w:t>
            </w:r>
          </w:p>
        </w:tc>
      </w:tr>
      <w:tr>
        <w:tblPrEx>
          <w:tblCellMar>
            <w:top w:w="0" w:type="dxa"/>
            <w:left w:w="108" w:type="dxa"/>
            <w:bottom w:w="0" w:type="dxa"/>
            <w:right w:w="108" w:type="dxa"/>
          </w:tblCellMar>
        </w:tblPrEx>
        <w:trPr>
          <w:trHeight w:val="288"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20"/>
              <w:jc w:val="center"/>
              <w:rPr>
                <w:rFonts w:ascii="宋体" w:hAnsi="宋体" w:eastAsia="宋体" w:cs="宋体"/>
                <w:color w:val="000000"/>
                <w:sz w:val="21"/>
                <w:szCs w:val="21"/>
              </w:rPr>
            </w:p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textAlignment w:val="bottom"/>
              <w:rPr>
                <w:rFonts w:ascii="宋体" w:hAnsi="宋体" w:eastAsia="宋体" w:cs="宋体"/>
                <w:color w:val="000000"/>
                <w:sz w:val="21"/>
                <w:szCs w:val="21"/>
              </w:rPr>
            </w:pPr>
            <w:r>
              <w:rPr>
                <w:rFonts w:hint="eastAsia" w:ascii="宋体" w:hAnsi="宋体" w:eastAsia="宋体" w:cs="宋体"/>
                <w:color w:val="000000"/>
                <w:kern w:val="0"/>
                <w:sz w:val="21"/>
                <w:szCs w:val="21"/>
                <w:lang w:bidi="ar"/>
              </w:rPr>
              <w:t>3、支持白平衡、背光补偿、镜像控制等功能；</w:t>
            </w:r>
          </w:p>
        </w:tc>
      </w:tr>
      <w:tr>
        <w:tblPrEx>
          <w:tblCellMar>
            <w:top w:w="0" w:type="dxa"/>
            <w:left w:w="108" w:type="dxa"/>
            <w:bottom w:w="0" w:type="dxa"/>
            <w:right w:w="108" w:type="dxa"/>
          </w:tblCellMar>
        </w:tblPrEx>
        <w:trPr>
          <w:trHeight w:val="288"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20"/>
              <w:jc w:val="center"/>
              <w:rPr>
                <w:rFonts w:ascii="宋体" w:hAnsi="宋体" w:eastAsia="宋体" w:cs="宋体"/>
                <w:color w:val="000000"/>
                <w:sz w:val="21"/>
                <w:szCs w:val="21"/>
              </w:rPr>
            </w:p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textAlignment w:val="bottom"/>
              <w:rPr>
                <w:rFonts w:ascii="宋体" w:hAnsi="宋体" w:eastAsia="宋体" w:cs="宋体"/>
                <w:color w:val="000000"/>
                <w:sz w:val="21"/>
                <w:szCs w:val="21"/>
              </w:rPr>
            </w:pPr>
            <w:r>
              <w:rPr>
                <w:rFonts w:hint="eastAsia" w:ascii="宋体" w:hAnsi="宋体" w:eastAsia="宋体" w:cs="宋体"/>
                <w:color w:val="000000"/>
                <w:kern w:val="0"/>
                <w:sz w:val="21"/>
                <w:szCs w:val="21"/>
                <w:lang w:bidi="ar"/>
              </w:rPr>
              <w:t>4、支持 3D 数字降噪，支持数字宽动态</w:t>
            </w:r>
          </w:p>
        </w:tc>
      </w:tr>
      <w:tr>
        <w:tblPrEx>
          <w:tblCellMar>
            <w:top w:w="0" w:type="dxa"/>
            <w:left w:w="108" w:type="dxa"/>
            <w:bottom w:w="0" w:type="dxa"/>
            <w:right w:w="108" w:type="dxa"/>
          </w:tblCellMar>
        </w:tblPrEx>
        <w:trPr>
          <w:trHeight w:val="480"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20"/>
              <w:jc w:val="center"/>
              <w:rPr>
                <w:rFonts w:ascii="宋体" w:hAnsi="宋体" w:eastAsia="宋体" w:cs="宋体"/>
                <w:color w:val="000000"/>
                <w:sz w:val="21"/>
                <w:szCs w:val="21"/>
              </w:rPr>
            </w:p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textAlignment w:val="bottom"/>
              <w:rPr>
                <w:rFonts w:ascii="宋体" w:hAnsi="宋体" w:eastAsia="宋体" w:cs="宋体"/>
                <w:color w:val="000000"/>
                <w:sz w:val="21"/>
                <w:szCs w:val="21"/>
              </w:rPr>
            </w:pPr>
            <w:r>
              <w:rPr>
                <w:rFonts w:hint="eastAsia" w:ascii="宋体" w:hAnsi="宋体" w:eastAsia="宋体" w:cs="宋体"/>
                <w:color w:val="000000"/>
                <w:kern w:val="0"/>
                <w:sz w:val="21"/>
                <w:szCs w:val="21"/>
                <w:lang w:bidi="ar"/>
              </w:rPr>
              <w:t>5、支持通过客户端对亮度、对比度、饱和度等进行调整；</w:t>
            </w:r>
          </w:p>
        </w:tc>
      </w:tr>
      <w:tr>
        <w:tblPrEx>
          <w:tblCellMar>
            <w:top w:w="0" w:type="dxa"/>
            <w:left w:w="108" w:type="dxa"/>
            <w:bottom w:w="0" w:type="dxa"/>
            <w:right w:w="108" w:type="dxa"/>
          </w:tblCellMar>
        </w:tblPrEx>
        <w:trPr>
          <w:trHeight w:val="480"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20"/>
              <w:jc w:val="center"/>
              <w:rPr>
                <w:rFonts w:ascii="宋体" w:hAnsi="宋体" w:eastAsia="宋体" w:cs="宋体"/>
                <w:color w:val="000000"/>
                <w:sz w:val="21"/>
                <w:szCs w:val="21"/>
              </w:rPr>
            </w:p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textAlignment w:val="bottom"/>
              <w:rPr>
                <w:rFonts w:ascii="宋体" w:hAnsi="宋体" w:eastAsia="宋体" w:cs="宋体"/>
                <w:color w:val="000000"/>
                <w:sz w:val="21"/>
                <w:szCs w:val="21"/>
              </w:rPr>
            </w:pPr>
            <w:r>
              <w:rPr>
                <w:rFonts w:hint="eastAsia" w:ascii="宋体" w:hAnsi="宋体" w:eastAsia="宋体" w:cs="宋体"/>
                <w:color w:val="000000"/>
                <w:kern w:val="0"/>
                <w:sz w:val="21"/>
                <w:szCs w:val="21"/>
                <w:lang w:bidi="ar"/>
              </w:rPr>
              <w:t>▲6、支持移动侦测/人形检测报警功能；（提供公安部检验报告扫描件）</w:t>
            </w:r>
          </w:p>
        </w:tc>
      </w:tr>
      <w:tr>
        <w:tblPrEx>
          <w:tblCellMar>
            <w:top w:w="0" w:type="dxa"/>
            <w:left w:w="108" w:type="dxa"/>
            <w:bottom w:w="0" w:type="dxa"/>
            <w:right w:w="108" w:type="dxa"/>
          </w:tblCellMar>
        </w:tblPrEx>
        <w:trPr>
          <w:trHeight w:val="480"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20"/>
              <w:jc w:val="center"/>
              <w:rPr>
                <w:rFonts w:ascii="宋体" w:hAnsi="宋体" w:eastAsia="宋体" w:cs="宋体"/>
                <w:color w:val="000000"/>
                <w:sz w:val="21"/>
                <w:szCs w:val="21"/>
              </w:rPr>
            </w:p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textAlignment w:val="bottom"/>
              <w:rPr>
                <w:rFonts w:ascii="宋体" w:hAnsi="宋体" w:eastAsia="宋体" w:cs="宋体"/>
                <w:color w:val="000000"/>
                <w:sz w:val="21"/>
                <w:szCs w:val="21"/>
              </w:rPr>
            </w:pPr>
            <w:r>
              <w:rPr>
                <w:rFonts w:hint="eastAsia" w:ascii="宋体" w:hAnsi="宋体" w:eastAsia="宋体" w:cs="宋体"/>
                <w:color w:val="000000"/>
                <w:kern w:val="0"/>
                <w:sz w:val="21"/>
                <w:szCs w:val="21"/>
                <w:lang w:bidi="ar"/>
              </w:rPr>
              <w:t>7、具有语音对讲功能，可通过客户端与摄像机进行对讲；</w:t>
            </w:r>
          </w:p>
        </w:tc>
      </w:tr>
      <w:tr>
        <w:tblPrEx>
          <w:tblCellMar>
            <w:top w:w="0" w:type="dxa"/>
            <w:left w:w="108" w:type="dxa"/>
            <w:bottom w:w="0" w:type="dxa"/>
            <w:right w:w="108" w:type="dxa"/>
          </w:tblCellMar>
        </w:tblPrEx>
        <w:trPr>
          <w:trHeight w:val="480"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20"/>
              <w:jc w:val="center"/>
              <w:rPr>
                <w:rFonts w:ascii="宋体" w:hAnsi="宋体" w:eastAsia="宋体" w:cs="宋体"/>
                <w:color w:val="000000"/>
                <w:sz w:val="21"/>
                <w:szCs w:val="21"/>
              </w:rPr>
            </w:p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jc w:val="left"/>
              <w:textAlignment w:val="center"/>
              <w:rPr>
                <w:rFonts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8、支持手动录像、移动侦测录像及定时录像功能；</w:t>
            </w:r>
          </w:p>
        </w:tc>
      </w:tr>
      <w:tr>
        <w:tblPrEx>
          <w:tblCellMar>
            <w:top w:w="0" w:type="dxa"/>
            <w:left w:w="108" w:type="dxa"/>
            <w:bottom w:w="0" w:type="dxa"/>
            <w:right w:w="108" w:type="dxa"/>
          </w:tblCellMar>
        </w:tblPrEx>
        <w:trPr>
          <w:trHeight w:val="288"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20"/>
              <w:jc w:val="center"/>
              <w:rPr>
                <w:rFonts w:ascii="宋体" w:hAnsi="宋体" w:eastAsia="宋体" w:cs="宋体"/>
                <w:color w:val="000000"/>
                <w:sz w:val="21"/>
                <w:szCs w:val="21"/>
              </w:rPr>
            </w:p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jc w:val="left"/>
              <w:textAlignment w:val="center"/>
              <w:rPr>
                <w:rFonts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9、支持录像回放功能；</w:t>
            </w:r>
          </w:p>
        </w:tc>
      </w:tr>
      <w:tr>
        <w:tblPrEx>
          <w:tblCellMar>
            <w:top w:w="0" w:type="dxa"/>
            <w:left w:w="108" w:type="dxa"/>
            <w:bottom w:w="0" w:type="dxa"/>
            <w:right w:w="108" w:type="dxa"/>
          </w:tblCellMar>
        </w:tblPrEx>
        <w:trPr>
          <w:trHeight w:val="480"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20"/>
              <w:jc w:val="center"/>
              <w:rPr>
                <w:rFonts w:ascii="宋体" w:hAnsi="宋体" w:eastAsia="宋体" w:cs="宋体"/>
                <w:color w:val="000000"/>
                <w:sz w:val="21"/>
                <w:szCs w:val="21"/>
              </w:rPr>
            </w:p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jc w:val="left"/>
              <w:textAlignment w:val="center"/>
              <w:rPr>
                <w:rFonts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10、支持将报警信息发送至客户端/平台端，通过客户端/平台端查看报警信息；</w:t>
            </w:r>
          </w:p>
        </w:tc>
      </w:tr>
      <w:tr>
        <w:tblPrEx>
          <w:tblCellMar>
            <w:top w:w="0" w:type="dxa"/>
            <w:left w:w="108" w:type="dxa"/>
            <w:bottom w:w="0" w:type="dxa"/>
            <w:right w:w="108" w:type="dxa"/>
          </w:tblCellMar>
        </w:tblPrEx>
        <w:trPr>
          <w:trHeight w:val="480"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20"/>
              <w:jc w:val="center"/>
              <w:rPr>
                <w:rFonts w:ascii="宋体" w:hAnsi="宋体" w:eastAsia="宋体" w:cs="宋体"/>
                <w:color w:val="000000"/>
                <w:sz w:val="21"/>
                <w:szCs w:val="21"/>
              </w:rPr>
            </w:p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jc w:val="left"/>
              <w:textAlignment w:val="center"/>
              <w:rPr>
                <w:rFonts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11、支持H.265、H.264(Main Profile)编码格式；</w:t>
            </w:r>
          </w:p>
        </w:tc>
      </w:tr>
      <w:tr>
        <w:tblPrEx>
          <w:tblCellMar>
            <w:top w:w="0" w:type="dxa"/>
            <w:left w:w="108" w:type="dxa"/>
            <w:bottom w:w="0" w:type="dxa"/>
            <w:right w:w="108" w:type="dxa"/>
          </w:tblCellMar>
        </w:tblPrEx>
        <w:trPr>
          <w:trHeight w:val="480"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20"/>
              <w:jc w:val="center"/>
              <w:rPr>
                <w:rFonts w:ascii="宋体" w:hAnsi="宋体" w:eastAsia="宋体" w:cs="宋体"/>
                <w:color w:val="000000"/>
                <w:sz w:val="21"/>
                <w:szCs w:val="21"/>
              </w:rPr>
            </w:p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jc w:val="left"/>
              <w:textAlignment w:val="center"/>
              <w:rPr>
                <w:rFonts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12、具有超清、高清和均衡三种视频浏览模式，各模式下码率自适应；</w:t>
            </w:r>
          </w:p>
        </w:tc>
      </w:tr>
      <w:tr>
        <w:tblPrEx>
          <w:tblCellMar>
            <w:top w:w="0" w:type="dxa"/>
            <w:left w:w="108" w:type="dxa"/>
            <w:bottom w:w="0" w:type="dxa"/>
            <w:right w:w="108" w:type="dxa"/>
          </w:tblCellMar>
        </w:tblPrEx>
        <w:trPr>
          <w:trHeight w:val="288"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20"/>
              <w:jc w:val="center"/>
              <w:rPr>
                <w:rFonts w:ascii="宋体" w:hAnsi="宋体" w:eastAsia="宋体" w:cs="宋体"/>
                <w:color w:val="000000"/>
                <w:sz w:val="21"/>
                <w:szCs w:val="21"/>
              </w:rPr>
            </w:p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13、支持自动转换彩色/黑白模式；</w:t>
            </w:r>
          </w:p>
        </w:tc>
      </w:tr>
      <w:tr>
        <w:tblPrEx>
          <w:tblCellMar>
            <w:top w:w="0" w:type="dxa"/>
            <w:left w:w="108" w:type="dxa"/>
            <w:bottom w:w="0" w:type="dxa"/>
            <w:right w:w="108" w:type="dxa"/>
          </w:tblCellMar>
        </w:tblPrEx>
        <w:trPr>
          <w:trHeight w:val="480"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20"/>
              <w:jc w:val="center"/>
              <w:rPr>
                <w:rFonts w:ascii="宋体" w:hAnsi="宋体" w:eastAsia="宋体" w:cs="宋体"/>
                <w:color w:val="000000"/>
                <w:sz w:val="21"/>
                <w:szCs w:val="21"/>
              </w:rPr>
            </w:p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14、支持摄像机在正常环境下连续工作，不出现电气、机械或软件故障；</w:t>
            </w:r>
          </w:p>
        </w:tc>
      </w:tr>
      <w:tr>
        <w:tblPrEx>
          <w:tblCellMar>
            <w:top w:w="0" w:type="dxa"/>
            <w:left w:w="108" w:type="dxa"/>
            <w:bottom w:w="0" w:type="dxa"/>
            <w:right w:w="108" w:type="dxa"/>
          </w:tblCellMar>
        </w:tblPrEx>
        <w:trPr>
          <w:trHeight w:val="720" w:hRule="atLeast"/>
        </w:trPr>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9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智能烟感探测器</w:t>
            </w: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▲1、产品需符合GB 20517-2006《独立式感烟火灾探测报警器》要求；（提供国家消防电子产品质量监督检验中心出具的型式试验报告扫描件）</w:t>
            </w:r>
          </w:p>
        </w:tc>
      </w:tr>
      <w:tr>
        <w:tblPrEx>
          <w:tblCellMar>
            <w:top w:w="0" w:type="dxa"/>
            <w:left w:w="108" w:type="dxa"/>
            <w:bottom w:w="0" w:type="dxa"/>
            <w:right w:w="108" w:type="dxa"/>
          </w:tblCellMar>
        </w:tblPrEx>
        <w:trPr>
          <w:trHeight w:val="720"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20"/>
              <w:jc w:val="center"/>
              <w:rPr>
                <w:rFonts w:ascii="宋体" w:hAnsi="宋体" w:eastAsia="宋体" w:cs="宋体"/>
                <w:color w:val="000000"/>
                <w:sz w:val="21"/>
                <w:szCs w:val="21"/>
              </w:rPr>
            </w:p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2、产品需获得无线电发射设备型号核准证和进网许可证；（提供无线电发射设备型号核准证和进网许可证扫描件）</w:t>
            </w:r>
          </w:p>
        </w:tc>
      </w:tr>
      <w:tr>
        <w:tblPrEx>
          <w:tblCellMar>
            <w:top w:w="0" w:type="dxa"/>
            <w:left w:w="108" w:type="dxa"/>
            <w:bottom w:w="0" w:type="dxa"/>
            <w:right w:w="108" w:type="dxa"/>
          </w:tblCellMar>
        </w:tblPrEx>
        <w:trPr>
          <w:trHeight w:val="960"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20"/>
              <w:jc w:val="center"/>
              <w:rPr>
                <w:rFonts w:ascii="宋体" w:hAnsi="宋体" w:eastAsia="宋体" w:cs="宋体"/>
                <w:color w:val="000000"/>
                <w:sz w:val="21"/>
                <w:szCs w:val="21"/>
              </w:rPr>
            </w:p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3、具有≥1个红外光信号发射管、≥1个蓝光信号发射管、≥1个光信号接收管、≥1个温湿度传感器、≥1个红外遥控接收管、≥1个移动侦测传感模块；</w:t>
            </w:r>
          </w:p>
        </w:tc>
      </w:tr>
      <w:tr>
        <w:tblPrEx>
          <w:tblCellMar>
            <w:top w:w="0" w:type="dxa"/>
            <w:left w:w="108" w:type="dxa"/>
            <w:bottom w:w="0" w:type="dxa"/>
            <w:right w:w="108" w:type="dxa"/>
          </w:tblCellMar>
        </w:tblPrEx>
        <w:trPr>
          <w:trHeight w:val="480"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20"/>
              <w:jc w:val="center"/>
              <w:rPr>
                <w:rFonts w:ascii="宋体" w:hAnsi="宋体" w:eastAsia="宋体" w:cs="宋体"/>
                <w:color w:val="000000"/>
                <w:sz w:val="21"/>
                <w:szCs w:val="21"/>
              </w:rPr>
            </w:p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4、在距设备正前方3m处，设备蜂鸣器的声压级应≥85dB（A计权）；</w:t>
            </w:r>
          </w:p>
        </w:tc>
      </w:tr>
      <w:tr>
        <w:tblPrEx>
          <w:tblCellMar>
            <w:top w:w="0" w:type="dxa"/>
            <w:left w:w="108" w:type="dxa"/>
            <w:bottom w:w="0" w:type="dxa"/>
            <w:right w:w="108" w:type="dxa"/>
          </w:tblCellMar>
        </w:tblPrEx>
        <w:trPr>
          <w:trHeight w:val="480"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20"/>
              <w:jc w:val="center"/>
              <w:rPr>
                <w:rFonts w:ascii="宋体" w:hAnsi="宋体" w:eastAsia="宋体" w:cs="宋体"/>
                <w:color w:val="000000"/>
                <w:sz w:val="21"/>
                <w:szCs w:val="21"/>
              </w:rPr>
            </w:p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5、支持通过平台端下发指令调整设备的烟雾报警阈值；</w:t>
            </w:r>
          </w:p>
        </w:tc>
      </w:tr>
      <w:tr>
        <w:tblPrEx>
          <w:tblCellMar>
            <w:top w:w="0" w:type="dxa"/>
            <w:left w:w="108" w:type="dxa"/>
            <w:bottom w:w="0" w:type="dxa"/>
            <w:right w:w="108" w:type="dxa"/>
          </w:tblCellMar>
        </w:tblPrEx>
        <w:trPr>
          <w:trHeight w:val="480"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20"/>
              <w:jc w:val="center"/>
              <w:rPr>
                <w:rFonts w:ascii="宋体" w:hAnsi="宋体" w:eastAsia="宋体" w:cs="宋体"/>
                <w:color w:val="000000"/>
                <w:sz w:val="21"/>
                <w:szCs w:val="21"/>
              </w:rPr>
            </w:p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6、支持监测周围室内环境的温度和湿度，并定时自动上报至平台端；</w:t>
            </w:r>
          </w:p>
        </w:tc>
      </w:tr>
      <w:tr>
        <w:tblPrEx>
          <w:tblCellMar>
            <w:top w:w="0" w:type="dxa"/>
            <w:left w:w="108" w:type="dxa"/>
            <w:bottom w:w="0" w:type="dxa"/>
            <w:right w:w="108" w:type="dxa"/>
          </w:tblCellMar>
        </w:tblPrEx>
        <w:trPr>
          <w:trHeight w:val="720"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20"/>
              <w:jc w:val="center"/>
              <w:rPr>
                <w:rFonts w:ascii="宋体" w:hAnsi="宋体" w:eastAsia="宋体" w:cs="宋体"/>
                <w:color w:val="000000"/>
                <w:sz w:val="21"/>
                <w:szCs w:val="21"/>
              </w:rPr>
            </w:p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▲7、当蜂鸣器出现故障时，设备应能产生蜂鸣器故障报警，并上报至手机APP端与平台端；（提供公安部检验报告扫描件）</w:t>
            </w:r>
          </w:p>
        </w:tc>
      </w:tr>
      <w:tr>
        <w:tblPrEx>
          <w:tblCellMar>
            <w:top w:w="0" w:type="dxa"/>
            <w:left w:w="108" w:type="dxa"/>
            <w:bottom w:w="0" w:type="dxa"/>
            <w:right w:w="108" w:type="dxa"/>
          </w:tblCellMar>
        </w:tblPrEx>
        <w:trPr>
          <w:trHeight w:val="720"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20"/>
              <w:jc w:val="center"/>
              <w:rPr>
                <w:rFonts w:ascii="宋体" w:hAnsi="宋体" w:eastAsia="宋体" w:cs="宋体"/>
                <w:color w:val="000000"/>
                <w:sz w:val="21"/>
                <w:szCs w:val="21"/>
              </w:rPr>
            </w:p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▲8、当通讯模块出现休眠功能异常时，设备应产生休眠异常故障报警，并上报至手机APP端和平台端；（提供公安部检验报告扫描件）</w:t>
            </w:r>
          </w:p>
        </w:tc>
      </w:tr>
      <w:tr>
        <w:tblPrEx>
          <w:tblCellMar>
            <w:top w:w="0" w:type="dxa"/>
            <w:left w:w="108" w:type="dxa"/>
            <w:bottom w:w="0" w:type="dxa"/>
            <w:right w:w="108" w:type="dxa"/>
          </w:tblCellMar>
        </w:tblPrEx>
        <w:trPr>
          <w:trHeight w:val="720"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20"/>
              <w:jc w:val="center"/>
              <w:rPr>
                <w:rFonts w:ascii="宋体" w:hAnsi="宋体" w:eastAsia="宋体" w:cs="宋体"/>
                <w:color w:val="000000"/>
                <w:sz w:val="21"/>
                <w:szCs w:val="21"/>
              </w:rPr>
            </w:p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▲9、处于报警状态时，设备应支持通过本地按键、平台端、手机APP端远程下发消音指令进行消音；（提供公安部检验报告扫描件）</w:t>
            </w:r>
          </w:p>
        </w:tc>
      </w:tr>
      <w:tr>
        <w:tblPrEx>
          <w:tblCellMar>
            <w:top w:w="0" w:type="dxa"/>
            <w:left w:w="108" w:type="dxa"/>
            <w:bottom w:w="0" w:type="dxa"/>
            <w:right w:w="108" w:type="dxa"/>
          </w:tblCellMar>
        </w:tblPrEx>
        <w:trPr>
          <w:trHeight w:val="960"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20"/>
              <w:jc w:val="center"/>
              <w:rPr>
                <w:rFonts w:ascii="宋体" w:hAnsi="宋体" w:eastAsia="宋体" w:cs="宋体"/>
                <w:color w:val="000000"/>
                <w:sz w:val="21"/>
                <w:szCs w:val="21"/>
              </w:rPr>
            </w:p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10、设备应具有移动侦测报警功能：在探测器下方探测到出现的移动人体/物体时，设备应能产生报警。在探测器下方连续24小时没有探测到移动人体/物体，发生超时后设备应能产生报警；</w:t>
            </w:r>
          </w:p>
        </w:tc>
      </w:tr>
      <w:tr>
        <w:tblPrEx>
          <w:tblCellMar>
            <w:top w:w="0" w:type="dxa"/>
            <w:left w:w="108" w:type="dxa"/>
            <w:bottom w:w="0" w:type="dxa"/>
            <w:right w:w="108" w:type="dxa"/>
          </w:tblCellMar>
        </w:tblPrEx>
        <w:trPr>
          <w:trHeight w:val="960"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20"/>
              <w:jc w:val="center"/>
              <w:rPr>
                <w:rFonts w:ascii="宋体" w:hAnsi="宋体" w:eastAsia="宋体" w:cs="宋体"/>
                <w:color w:val="000000"/>
                <w:sz w:val="21"/>
                <w:szCs w:val="21"/>
              </w:rPr>
            </w:p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11、在探测器下方，布防时间段内，当探测到出现的移动人体/物体时，设备应能产生报警。设备应支持配置移动侦测参数，其中参数应包括灵敏度、通讯频率等；</w:t>
            </w:r>
          </w:p>
        </w:tc>
      </w:tr>
      <w:tr>
        <w:tblPrEx>
          <w:tblCellMar>
            <w:top w:w="0" w:type="dxa"/>
            <w:left w:w="108" w:type="dxa"/>
            <w:bottom w:w="0" w:type="dxa"/>
            <w:right w:w="108" w:type="dxa"/>
          </w:tblCellMar>
        </w:tblPrEx>
        <w:trPr>
          <w:trHeight w:val="720"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20"/>
              <w:jc w:val="center"/>
              <w:rPr>
                <w:rFonts w:ascii="宋体" w:hAnsi="宋体" w:eastAsia="宋体" w:cs="宋体"/>
                <w:color w:val="000000"/>
                <w:sz w:val="21"/>
                <w:szCs w:val="21"/>
              </w:rPr>
            </w:p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12、具有抗水汽干扰功能；受试样品通电状态，放置在具有25℃、RH99%的环境下，持续4h；（提供公安部检验报告扫描件）</w:t>
            </w:r>
          </w:p>
        </w:tc>
      </w:tr>
      <w:tr>
        <w:tblPrEx>
          <w:tblCellMar>
            <w:top w:w="0" w:type="dxa"/>
            <w:left w:w="108" w:type="dxa"/>
            <w:bottom w:w="0" w:type="dxa"/>
            <w:right w:w="108" w:type="dxa"/>
          </w:tblCellMar>
        </w:tblPrEx>
        <w:trPr>
          <w:trHeight w:val="480"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20"/>
              <w:jc w:val="center"/>
              <w:rPr>
                <w:rFonts w:ascii="宋体" w:hAnsi="宋体" w:eastAsia="宋体" w:cs="宋体"/>
                <w:color w:val="000000"/>
                <w:sz w:val="21"/>
                <w:szCs w:val="21"/>
              </w:rPr>
            </w:pPr>
          </w:p>
        </w:tc>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rPr>
                <w:rFonts w:ascii="宋体" w:hAnsi="宋体" w:eastAsia="宋体" w:cs="宋体"/>
                <w:color w:val="000000"/>
                <w:sz w:val="21"/>
                <w:szCs w:val="21"/>
              </w:rPr>
            </w:pP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13、设备的外壳防护等级应符合GB/T4208-2017中IP31的要求。（提供公安部检验报告扫描件）</w:t>
            </w:r>
          </w:p>
        </w:tc>
      </w:tr>
      <w:tr>
        <w:tblPrEx>
          <w:tblCellMar>
            <w:top w:w="0" w:type="dxa"/>
            <w:left w:w="108" w:type="dxa"/>
            <w:bottom w:w="0" w:type="dxa"/>
            <w:right w:w="108" w:type="dxa"/>
          </w:tblCellMar>
        </w:tblPrEx>
        <w:trPr>
          <w:trHeight w:val="288" w:hRule="atLeast"/>
        </w:trPr>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5</w:t>
            </w:r>
          </w:p>
        </w:tc>
        <w:tc>
          <w:tcPr>
            <w:tcW w:w="202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三小场所全景扫描</w:t>
            </w: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1、场所全景数字化档案；直观监测场所监测；</w:t>
            </w:r>
          </w:p>
        </w:tc>
      </w:tr>
      <w:tr>
        <w:tblPrEx>
          <w:tblCellMar>
            <w:top w:w="0" w:type="dxa"/>
            <w:left w:w="108" w:type="dxa"/>
            <w:bottom w:w="0" w:type="dxa"/>
            <w:right w:w="108" w:type="dxa"/>
          </w:tblCellMar>
        </w:tblPrEx>
        <w:trPr>
          <w:trHeight w:val="480"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20"/>
              <w:jc w:val="center"/>
              <w:rPr>
                <w:rFonts w:ascii="宋体" w:hAnsi="宋体" w:eastAsia="宋体" w:cs="宋体"/>
                <w:color w:val="000000"/>
                <w:sz w:val="21"/>
                <w:szCs w:val="21"/>
              </w:rPr>
            </w:pPr>
          </w:p>
        </w:tc>
        <w:tc>
          <w:tcPr>
            <w:tcW w:w="20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jc w:val="center"/>
              <w:rPr>
                <w:rFonts w:ascii="宋体" w:hAnsi="宋体" w:eastAsia="宋体" w:cs="宋体"/>
                <w:color w:val="000000"/>
                <w:sz w:val="21"/>
                <w:szCs w:val="21"/>
              </w:rPr>
            </w:pP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2、灾后复盘，便于对场所灾前灾后进行对比分析，分析致灾原因。</w:t>
            </w:r>
          </w:p>
        </w:tc>
      </w:tr>
      <w:tr>
        <w:tblPrEx>
          <w:tblCellMar>
            <w:top w:w="0" w:type="dxa"/>
            <w:left w:w="108" w:type="dxa"/>
            <w:bottom w:w="0" w:type="dxa"/>
            <w:right w:w="108" w:type="dxa"/>
          </w:tblCellMar>
        </w:tblPrEx>
        <w:trPr>
          <w:trHeight w:val="480" w:hRule="atLeast"/>
        </w:trPr>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6</w:t>
            </w:r>
          </w:p>
        </w:tc>
        <w:tc>
          <w:tcPr>
            <w:tcW w:w="202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安装、调试</w:t>
            </w: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1、包含不限于，AI摄像机、智能烟感探测器、支架、平台部署、客户端等；</w:t>
            </w:r>
          </w:p>
        </w:tc>
      </w:tr>
      <w:tr>
        <w:tblPrEx>
          <w:tblCellMar>
            <w:top w:w="0" w:type="dxa"/>
            <w:left w:w="108" w:type="dxa"/>
            <w:bottom w:w="0" w:type="dxa"/>
            <w:right w:w="108" w:type="dxa"/>
          </w:tblCellMar>
        </w:tblPrEx>
        <w:trPr>
          <w:trHeight w:val="480"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20"/>
              <w:jc w:val="center"/>
              <w:rPr>
                <w:rFonts w:ascii="宋体" w:hAnsi="宋体" w:eastAsia="宋体" w:cs="宋体"/>
                <w:color w:val="000000"/>
                <w:sz w:val="21"/>
                <w:szCs w:val="21"/>
              </w:rPr>
            </w:pPr>
          </w:p>
        </w:tc>
        <w:tc>
          <w:tcPr>
            <w:tcW w:w="20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jc w:val="center"/>
              <w:rPr>
                <w:rFonts w:ascii="宋体" w:hAnsi="宋体" w:eastAsia="宋体" w:cs="宋体"/>
                <w:color w:val="000000"/>
                <w:sz w:val="21"/>
                <w:szCs w:val="21"/>
              </w:rPr>
            </w:pP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2、包含不限于，线缆、线管、插座面板、底壳、电工胶布、咋带、螺钉等相关辅材；</w:t>
            </w:r>
          </w:p>
        </w:tc>
      </w:tr>
      <w:tr>
        <w:tblPrEx>
          <w:tblCellMar>
            <w:top w:w="0" w:type="dxa"/>
            <w:left w:w="108" w:type="dxa"/>
            <w:bottom w:w="0" w:type="dxa"/>
            <w:right w:w="108" w:type="dxa"/>
          </w:tblCellMar>
        </w:tblPrEx>
        <w:trPr>
          <w:trHeight w:val="288" w:hRule="atLeast"/>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20"/>
              <w:jc w:val="center"/>
              <w:rPr>
                <w:rFonts w:ascii="宋体" w:hAnsi="宋体" w:eastAsia="宋体" w:cs="宋体"/>
                <w:color w:val="000000"/>
                <w:sz w:val="21"/>
                <w:szCs w:val="21"/>
              </w:rPr>
            </w:pPr>
          </w:p>
        </w:tc>
        <w:tc>
          <w:tcPr>
            <w:tcW w:w="20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20"/>
              <w:jc w:val="center"/>
              <w:rPr>
                <w:rFonts w:ascii="宋体" w:hAnsi="宋体" w:eastAsia="宋体" w:cs="宋体"/>
                <w:color w:val="000000"/>
                <w:sz w:val="21"/>
                <w:szCs w:val="21"/>
              </w:rPr>
            </w:pPr>
          </w:p>
        </w:tc>
        <w:tc>
          <w:tcPr>
            <w:tcW w:w="578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0" w:firstLineChars="0"/>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3、前端设备调试、培训注意事项；</w:t>
            </w:r>
          </w:p>
        </w:tc>
      </w:tr>
      <w:tr>
        <w:tblPrEx>
          <w:tblCellMar>
            <w:top w:w="0" w:type="dxa"/>
            <w:left w:w="108" w:type="dxa"/>
            <w:bottom w:w="0" w:type="dxa"/>
            <w:right w:w="108" w:type="dxa"/>
          </w:tblCellMar>
        </w:tblPrEx>
        <w:trPr>
          <w:trHeight w:val="48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7</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0" w:firstLineChars="0"/>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运行维护服务</w:t>
            </w:r>
          </w:p>
        </w:tc>
        <w:tc>
          <w:tcPr>
            <w:tcW w:w="57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ind w:firstLine="0" w:firstLineChars="0"/>
              <w:jc w:val="left"/>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1、运维服务人员要求：≥4人巡检服务、故障修复服务及设备迁移服务等。</w:t>
            </w:r>
          </w:p>
        </w:tc>
      </w:tr>
      <w:tr>
        <w:tblPrEx>
          <w:tblCellMar>
            <w:top w:w="0" w:type="dxa"/>
            <w:left w:w="108" w:type="dxa"/>
            <w:bottom w:w="0" w:type="dxa"/>
            <w:right w:w="108" w:type="dxa"/>
          </w:tblCellMar>
        </w:tblPrEx>
        <w:trPr>
          <w:trHeight w:val="960" w:hRule="atLeast"/>
        </w:trPr>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8</w:t>
            </w:r>
          </w:p>
        </w:tc>
        <w:tc>
          <w:tcPr>
            <w:tcW w:w="20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ind w:firstLine="0" w:firstLineChars="0"/>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7*24小值守服务费</w:t>
            </w:r>
          </w:p>
        </w:tc>
        <w:tc>
          <w:tcPr>
            <w:tcW w:w="57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ind w:firstLine="0" w:firstLineChars="0"/>
              <w:jc w:val="center"/>
              <w:textAlignment w:val="center"/>
              <w:rPr>
                <w:rFonts w:ascii="宋体" w:hAnsi="宋体" w:eastAsia="宋体" w:cs="宋体"/>
                <w:color w:val="000000"/>
                <w:sz w:val="21"/>
                <w:szCs w:val="21"/>
              </w:rPr>
            </w:pPr>
            <w:r>
              <w:rPr>
                <w:rFonts w:hint="eastAsia" w:ascii="宋体" w:hAnsi="宋体" w:eastAsia="宋体" w:cs="宋体"/>
                <w:color w:val="000000"/>
                <w:kern w:val="0"/>
                <w:sz w:val="21"/>
                <w:szCs w:val="21"/>
                <w:lang w:bidi="ar"/>
              </w:rPr>
              <w:t>1、提供≥3人7*24小时专人在线轮班值守服务，对福保街道“三小”场所智慧安全监管系统平台，接收前端监测预警信息核对，并将预警信息推送到相关监管方、业主方人员等。</w:t>
            </w:r>
          </w:p>
        </w:tc>
      </w:tr>
    </w:tbl>
    <w:p>
      <w:pPr>
        <w:pStyle w:val="2"/>
        <w:ind w:firstLine="0" w:firstLineChars="0"/>
      </w:pPr>
    </w:p>
    <w:p>
      <w:pPr>
        <w:ind w:left="640" w:leftChars="200" w:firstLine="0" w:firstLineChars="0"/>
        <w:rPr>
          <w:b/>
          <w:bCs/>
        </w:rPr>
      </w:pPr>
      <w:r>
        <w:rPr>
          <w:b/>
          <w:bCs/>
        </w:rPr>
        <w:t>3.</w:t>
      </w:r>
      <w:r>
        <w:rPr>
          <w:rFonts w:hint="eastAsia"/>
          <w:b/>
          <w:bCs/>
        </w:rPr>
        <w:t>服务时间要求：</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1、合同签订之日起60天内将符合要求的联网式</w:t>
      </w:r>
      <w:r>
        <w:rPr>
          <w:rFonts w:hint="eastAsia" w:ascii="仿宋_GB2312" w:hAnsi="仿宋_GB2312" w:eastAsia="仿宋_GB2312" w:cs="仿宋_GB2312"/>
          <w:sz w:val="28"/>
          <w:szCs w:val="28"/>
          <w:lang w:val="en-US" w:eastAsia="zh-CN"/>
        </w:rPr>
        <w:t>前端</w:t>
      </w:r>
      <w:r>
        <w:rPr>
          <w:rFonts w:hint="eastAsia" w:ascii="仿宋_GB2312" w:hAnsi="仿宋_GB2312" w:eastAsia="仿宋_GB2312" w:cs="仿宋_GB2312"/>
          <w:sz w:val="28"/>
          <w:szCs w:val="28"/>
        </w:rPr>
        <w:t>监测设备安装调试完成(所有设备上传至监管平台)。</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2、发现设备故障或收到采购单位故障通知后，2小时内响应，48 小时内维修完毕，如遇设备损坏或丢失，72小时内维修完毕或安装新设备。</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3、因第三方原因造成的情形，可在采购单位下达可入场维修通知之日起3日内解决故障：</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①因通讯信号不稳定导致物联通讯故障，致使设备离线的；</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②因场所装修、停业、场所负责人不配合等原因，致使设备被移除、损坏停用的；</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③因第三方原因无法进入场所，致使设备无法及时维修的。</w:t>
      </w:r>
    </w:p>
    <w:p>
      <w:pPr>
        <w:pStyle w:val="2"/>
        <w:ind w:firstLine="643"/>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rPr>
        <w:t>5.</w:t>
      </w:r>
      <w:r>
        <w:rPr>
          <w:rFonts w:hint="eastAsia" w:ascii="仿宋_GB2312" w:hAnsi="仿宋_GB2312" w:eastAsia="仿宋_GB2312" w:cs="仿宋_GB2312"/>
          <w:b/>
          <w:bCs/>
          <w:sz w:val="28"/>
          <w:szCs w:val="28"/>
        </w:rPr>
        <w:t>服务成果要求：</w:t>
      </w:r>
    </w:p>
    <w:p>
      <w:pPr>
        <w:pStyle w:val="2"/>
        <w:ind w:firstLine="560" w:firstLineChars="200"/>
        <w:rPr>
          <w:rFonts w:hint="eastAsia"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1、提供500套前端监测设备安装台账，台账应包含场所信息、设备信息、安装前后照片等。</w:t>
      </w:r>
    </w:p>
    <w:p>
      <w:pPr>
        <w:pStyle w:val="2"/>
        <w:ind w:firstLine="560" w:firstLineChars="200"/>
        <w:rPr>
          <w:rFonts w:hint="eastAsia"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2、提交每月监测预警报告。</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3、提交项目总结报告。报告内容应包含项目过程概述及回顾、项目可交付成果情况，项目目标完成度，项目开展过程中遇到的问题及难点的分析总结和建议等。</w:t>
      </w:r>
    </w:p>
    <w:p>
      <w:pPr>
        <w:pStyle w:val="2"/>
        <w:ind w:firstLine="643"/>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rPr>
        <w:t>6.</w:t>
      </w:r>
      <w:r>
        <w:rPr>
          <w:rFonts w:hint="eastAsia" w:ascii="仿宋_GB2312" w:hAnsi="仿宋_GB2312" w:eastAsia="仿宋_GB2312" w:cs="仿宋_GB2312"/>
          <w:b/>
          <w:bCs/>
          <w:sz w:val="28"/>
          <w:szCs w:val="28"/>
        </w:rPr>
        <w:t>考核办法/验收方式：</w:t>
      </w:r>
    </w:p>
    <w:p>
      <w:pPr>
        <w:pStyle w:val="2"/>
        <w:ind w:firstLine="560" w:firstLineChars="200"/>
        <w:rPr>
          <w:rFonts w:hint="eastAsia"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1、每月考核：自500套前端监测设备</w:t>
      </w:r>
      <w:r>
        <w:rPr>
          <w:rFonts w:hint="eastAsia" w:ascii="仿宋_GB2312" w:hAnsi="仿宋_GB2312" w:eastAsia="仿宋_GB2312" w:cs="仿宋_GB2312"/>
          <w:sz w:val="28"/>
          <w:szCs w:val="28"/>
        </w:rPr>
        <w:t>经采购单位确认可投入使用</w:t>
      </w:r>
      <w:r>
        <w:rPr>
          <w:rFonts w:hint="eastAsia" w:ascii="仿宋_GB2312" w:hAnsi="仿宋_GB2312" w:eastAsia="仿宋_GB2312" w:cs="仿宋_GB2312"/>
          <w:sz w:val="28"/>
          <w:szCs w:val="28"/>
          <w:lang w:val="en-US"/>
        </w:rPr>
        <w:t>次日起的每个自然月，对设备当月平均在线率进行考核，具体为：</w:t>
      </w:r>
    </w:p>
    <w:p>
      <w:pPr>
        <w:pStyle w:val="2"/>
        <w:ind w:firstLine="560"/>
        <w:rPr>
          <w:rFonts w:hint="eastAsia"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①90%≤设备当月平均在线率＜95%的，当月费用核减合同总价款的1%；</w:t>
      </w:r>
    </w:p>
    <w:p>
      <w:pPr>
        <w:pStyle w:val="2"/>
        <w:ind w:firstLine="560"/>
        <w:rPr>
          <w:rFonts w:hint="eastAsia"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rPr>
        <w:t>②设备当月平均在线率＜90%的，当月费用核减合同总价款的2%。</w:t>
      </w:r>
    </w:p>
    <w:p>
      <w:pPr>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2、整体验收：采购单位根据招投标文件、合同等本项目相关资料对服务内容、服务成果、服务质量等进行验收。</w:t>
      </w:r>
    </w:p>
    <w:p>
      <w:pPr>
        <w:pStyle w:val="2"/>
        <w:ind w:firstLine="643"/>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rPr>
        <w:t>7.</w:t>
      </w:r>
      <w:r>
        <w:rPr>
          <w:rFonts w:hint="eastAsia" w:ascii="仿宋_GB2312" w:hAnsi="仿宋_GB2312" w:eastAsia="仿宋_GB2312" w:cs="仿宋_GB2312"/>
          <w:b/>
          <w:bCs/>
          <w:sz w:val="28"/>
          <w:szCs w:val="28"/>
        </w:rPr>
        <w:t>报价要求：</w:t>
      </w:r>
    </w:p>
    <w:p>
      <w:pPr>
        <w:ind w:left="557" w:leftChars="174"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1、根据本企业的成本自行决定报价，且报价不得超过项目预算。</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2、本项目服务费采用包干制，应包括服务成本、法定税费和企业的利润。根据提供的资料自行测算报价；签定合同后，合同期限内不做调整。</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3、提供详细分项报价清单。</w:t>
      </w:r>
    </w:p>
    <w:p>
      <w:pPr>
        <w:pStyle w:val="2"/>
        <w:ind w:firstLine="643"/>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rPr>
        <w:t>8.</w:t>
      </w:r>
      <w:r>
        <w:rPr>
          <w:rFonts w:hint="eastAsia" w:ascii="仿宋_GB2312" w:hAnsi="仿宋_GB2312" w:eastAsia="仿宋_GB2312" w:cs="仿宋_GB2312"/>
          <w:b/>
          <w:bCs/>
          <w:sz w:val="28"/>
          <w:szCs w:val="28"/>
        </w:rPr>
        <w:t>付款方式：</w:t>
      </w:r>
    </w:p>
    <w:p>
      <w:pPr>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合同签订后，分二期付款。具体以合同约定为准。</w:t>
      </w:r>
    </w:p>
    <w:p>
      <w:pPr>
        <w:ind w:firstLine="643"/>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9.服务期限：</w:t>
      </w:r>
    </w:p>
    <w:p>
      <w:pPr>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w:t>
      </w:r>
      <w:r>
        <w:rPr>
          <w:rFonts w:hint="eastAsia" w:hAnsi="仿宋_GB2312" w:cs="仿宋_GB2312"/>
          <w:sz w:val="28"/>
          <w:szCs w:val="28"/>
          <w:lang w:eastAsia="zh-CN"/>
        </w:rPr>
        <w:t>服务</w:t>
      </w:r>
      <w:r>
        <w:rPr>
          <w:rFonts w:hint="eastAsia" w:ascii="仿宋_GB2312" w:hAnsi="仿宋_GB2312" w:eastAsia="仿宋_GB2312" w:cs="仿宋_GB2312"/>
          <w:sz w:val="28"/>
          <w:szCs w:val="28"/>
        </w:rPr>
        <w:t>周期三年，合同每年一签，合同期满后可根据供应商履约情况，可</w:t>
      </w:r>
      <w:bookmarkStart w:id="0" w:name="_GoBack"/>
      <w:bookmarkEnd w:id="0"/>
      <w:r>
        <w:rPr>
          <w:rFonts w:hint="eastAsia" w:ascii="仿宋_GB2312" w:hAnsi="仿宋_GB2312" w:eastAsia="仿宋_GB2312" w:cs="仿宋_GB2312"/>
          <w:sz w:val="28"/>
          <w:szCs w:val="28"/>
        </w:rPr>
        <w:t>延长合同期。本项目为长期服务项目。以实际签订合同为准。</w:t>
      </w:r>
    </w:p>
    <w:p>
      <w:pPr>
        <w:pStyle w:val="2"/>
        <w:numPr>
          <w:ilvl w:val="0"/>
          <w:numId w:val="4"/>
        </w:numPr>
        <w:ind w:firstLine="643"/>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服务地点：</w:t>
      </w:r>
    </w:p>
    <w:p>
      <w:pPr>
        <w:pStyle w:val="2"/>
        <w:ind w:firstLine="560"/>
        <w:rPr>
          <w:rFonts w:hint="eastAsia" w:ascii="仿宋_GB2312" w:hAnsi="仿宋_GB2312" w:eastAsia="仿宋_GB2312" w:cs="仿宋_GB2312"/>
          <w:sz w:val="28"/>
          <w:szCs w:val="28"/>
          <w:lang w:val="en-US"/>
        </w:rPr>
      </w:pPr>
      <w:r>
        <w:rPr>
          <w:rFonts w:hint="eastAsia" w:ascii="仿宋_GB2312" w:hAnsi="仿宋_GB2312" w:eastAsia="仿宋_GB2312" w:cs="仿宋_GB2312"/>
          <w:sz w:val="28"/>
          <w:szCs w:val="28"/>
        </w:rPr>
        <w:t>在采购人指定</w:t>
      </w:r>
      <w:r>
        <w:rPr>
          <w:rFonts w:hint="eastAsia" w:ascii="仿宋_GB2312" w:hAnsi="仿宋_GB2312" w:eastAsia="仿宋_GB2312" w:cs="仿宋_GB2312"/>
          <w:sz w:val="28"/>
          <w:szCs w:val="28"/>
          <w:lang w:val="en-US"/>
        </w:rPr>
        <w:t>的福田区福</w:t>
      </w:r>
      <w:r>
        <w:rPr>
          <w:rFonts w:hint="eastAsia" w:ascii="仿宋_GB2312" w:hAnsi="仿宋_GB2312" w:eastAsia="仿宋_GB2312" w:cs="仿宋_GB2312"/>
          <w:sz w:val="28"/>
          <w:szCs w:val="28"/>
          <w:lang w:val="en-US" w:eastAsia="zh-CN"/>
        </w:rPr>
        <w:t>保</w:t>
      </w:r>
      <w:r>
        <w:rPr>
          <w:rFonts w:hint="eastAsia" w:ascii="仿宋_GB2312" w:hAnsi="仿宋_GB2312" w:eastAsia="仿宋_GB2312" w:cs="仿宋_GB2312"/>
          <w:sz w:val="28"/>
          <w:szCs w:val="28"/>
          <w:lang w:val="en-US"/>
        </w:rPr>
        <w:t>街道500家“三小”场所</w:t>
      </w:r>
      <w:r>
        <w:rPr>
          <w:rFonts w:hint="eastAsia" w:ascii="仿宋_GB2312" w:hAnsi="仿宋_GB2312" w:eastAsia="仿宋_GB2312" w:cs="仿宋_GB2312"/>
          <w:sz w:val="28"/>
          <w:szCs w:val="28"/>
        </w:rPr>
        <w:t>地点。</w:t>
      </w:r>
    </w:p>
    <w:p>
      <w:pPr>
        <w:ind w:firstLine="643"/>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11.关于违约：</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1、如投标人未按照投标文件中承诺的时间交货或提供服务，投标人应承担延期服务的违约责任，并可要求投标人赔偿采购人因此造成的实际经济损失。</w:t>
      </w:r>
    </w:p>
    <w:p>
      <w:pPr>
        <w:pStyle w:val="2"/>
        <w:ind w:firstLine="560" w:firstLineChars="200"/>
        <w:rPr>
          <w:rFonts w:hint="eastAsia" w:ascii="仿宋_GB2312" w:hAnsi="仿宋_GB2312" w:eastAsia="仿宋_GB2312" w:cs="仿宋_GB2312"/>
          <w:sz w:val="28"/>
          <w:szCs w:val="28"/>
          <w:lang w:val="en-US"/>
        </w:rPr>
      </w:pPr>
      <w:r>
        <w:rPr>
          <w:rFonts w:hint="eastAsia" w:ascii="仿宋_GB2312" w:hAnsi="仿宋_GB2312" w:eastAsia="仿宋_GB2312" w:cs="仿宋_GB2312"/>
          <w:sz w:val="28"/>
          <w:szCs w:val="28"/>
        </w:rPr>
        <w:t>2、投标人不能按照项目需求进行提供运维服务，需向采购人每日偿付延迟运维服务总额的0.5%作为违约金，在应付款中直接结算；本款违约金的计算以合同总额的30%为限。</w:t>
      </w:r>
    </w:p>
    <w:p>
      <w:pPr>
        <w:pStyle w:val="2"/>
        <w:ind w:firstLine="643"/>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rPr>
        <w:t>12.</w:t>
      </w:r>
      <w:r>
        <w:rPr>
          <w:rFonts w:hint="eastAsia" w:ascii="仿宋_GB2312" w:hAnsi="仿宋_GB2312" w:eastAsia="仿宋_GB2312" w:cs="仿宋_GB2312"/>
          <w:b/>
          <w:bCs/>
          <w:sz w:val="28"/>
          <w:szCs w:val="28"/>
        </w:rPr>
        <w:t>其他需说明的事项：</w:t>
      </w:r>
    </w:p>
    <w:p>
      <w:pPr>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1、现场的控制和安全管理均由中标单位自行负责，中标单位应做好安全保障措施，保障其工作人员的安全。</w:t>
      </w:r>
    </w:p>
    <w:p>
      <w:pPr>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2、中标单位工作人员不得借职务之便从事其他盈利性活动。</w:t>
      </w:r>
    </w:p>
    <w:p>
      <w:pPr>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3、采购单位工作人员或场所内相关人员因中标单位提供的燃气监测设备导致其合法权益受损，采购单位将追究中标单位责任，并要求中标单位依法承担赔偿责任。</w:t>
      </w:r>
    </w:p>
    <w:p>
      <w:pPr>
        <w:ind w:firstLine="0" w:firstLineChars="0"/>
        <w:rPr>
          <w:rFonts w:ascii="仿宋" w:hAnsi="仿宋" w:eastAsia="仿宋"/>
          <w:bCs/>
          <w:sz w:val="28"/>
          <w:szCs w:val="28"/>
        </w:rPr>
      </w:pPr>
      <w:r>
        <w:rPr>
          <w:rFonts w:hint="eastAsia" w:ascii="仿宋_GB2312" w:hAnsi="仿宋_GB2312" w:eastAsia="仿宋_GB2312" w:cs="仿宋_GB2312"/>
          <w:sz w:val="28"/>
          <w:szCs w:val="28"/>
        </w:rPr>
        <w:t>4、提供虚假承诺的，涉嫌存在违法违规行为的，依法报主管部门处理处罚。</w:t>
      </w:r>
    </w:p>
    <w:p>
      <w:pPr>
        <w:numPr>
          <w:ilvl w:val="255"/>
          <w:numId w:val="0"/>
        </w:numPr>
        <w:ind w:firstLine="562"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b/>
          <w:bCs/>
          <w:kern w:val="0"/>
          <w:sz w:val="28"/>
          <w:szCs w:val="28"/>
        </w:rPr>
        <w:t>四、评判信息</w:t>
      </w:r>
    </w:p>
    <w:p>
      <w:pPr>
        <w:ind w:firstLine="480"/>
        <w:rPr>
          <w:rFonts w:ascii="仿宋" w:hAnsi="仿宋" w:eastAsia="仿宋" w:cs="仿宋"/>
          <w:color w:val="000000"/>
          <w:sz w:val="24"/>
        </w:rPr>
      </w:pPr>
      <w:r>
        <w:rPr>
          <w:rFonts w:hint="eastAsia" w:ascii="仿宋" w:hAnsi="仿宋" w:eastAsia="仿宋" w:cs="仿宋"/>
          <w:color w:val="000000"/>
          <w:sz w:val="24"/>
        </w:rPr>
        <w:t>本次评判采用综合评判法，按照采购文件中规定的各项因素进行量化评判，以评判总得分最高的供应商为成交候选供应商。</w:t>
      </w:r>
    </w:p>
    <w:p>
      <w:pPr>
        <w:ind w:firstLine="480"/>
        <w:rPr>
          <w:rFonts w:ascii="仿宋" w:hAnsi="仿宋" w:eastAsia="仿宋" w:cs="仿宋"/>
          <w:color w:val="000000"/>
          <w:sz w:val="24"/>
        </w:rPr>
      </w:pPr>
      <w:r>
        <w:rPr>
          <w:rFonts w:hint="eastAsia" w:ascii="仿宋" w:hAnsi="仿宋" w:eastAsia="仿宋" w:cs="仿宋"/>
          <w:color w:val="000000"/>
          <w:sz w:val="24"/>
        </w:rPr>
        <w:t>确定成交供应商按评判后得分由高到低顺序排序。得分排名前3名的供应商作为成交候选人。得分相同的，按响应报价由低到高排列；得分且响应报价相同的，按技术指标优劣顺序排列；综合得分、响应报价及技术得分均相同的，评审委员会成员通过表决，以少数服从多数原则，决定列前成交候选人。</w:t>
      </w:r>
    </w:p>
    <w:p>
      <w:pPr>
        <w:pStyle w:val="2"/>
        <w:tabs>
          <w:tab w:val="left" w:pos="562"/>
          <w:tab w:val="left" w:pos="3372"/>
          <w:tab w:val="left" w:pos="3653"/>
        </w:tabs>
        <w:ind w:firstLine="480"/>
        <w:rPr>
          <w:rFonts w:ascii="仿宋" w:hAnsi="仿宋" w:eastAsia="仿宋" w:cs="仿宋"/>
          <w:color w:val="000000"/>
          <w:sz w:val="24"/>
        </w:rPr>
      </w:pPr>
      <w:r>
        <w:rPr>
          <w:rFonts w:hint="eastAsia" w:ascii="仿宋" w:hAnsi="仿宋" w:eastAsia="仿宋" w:cs="仿宋"/>
          <w:color w:val="000000"/>
          <w:sz w:val="24"/>
        </w:rPr>
        <w:t>价格分应当采用低价优先法计算，即满足采购文件要求且投标价格最低的响应报价为评判基准价，其价格分为满分。其他响应人的价格分统一按照下列公式计算：</w:t>
      </w:r>
    </w:p>
    <w:p>
      <w:pPr>
        <w:pStyle w:val="2"/>
        <w:tabs>
          <w:tab w:val="left" w:pos="562"/>
          <w:tab w:val="left" w:pos="3372"/>
          <w:tab w:val="left" w:pos="3653"/>
        </w:tabs>
        <w:ind w:firstLine="482"/>
        <w:rPr>
          <w:rFonts w:ascii="仿宋" w:hAnsi="仿宋" w:eastAsia="仿宋" w:cs="仿宋"/>
          <w:b/>
          <w:bCs/>
          <w:color w:val="000000"/>
          <w:sz w:val="24"/>
        </w:rPr>
      </w:pPr>
      <w:r>
        <w:rPr>
          <w:rFonts w:hint="eastAsia" w:ascii="仿宋" w:hAnsi="仿宋" w:eastAsia="仿宋" w:cs="仿宋"/>
          <w:b/>
          <w:bCs/>
          <w:color w:val="000000"/>
          <w:sz w:val="24"/>
        </w:rPr>
        <w:t>响应报价得分=(评判基准价/响应报价)×100</w:t>
      </w:r>
    </w:p>
    <w:p>
      <w:pPr>
        <w:pStyle w:val="2"/>
        <w:tabs>
          <w:tab w:val="left" w:pos="562"/>
          <w:tab w:val="left" w:pos="3372"/>
          <w:tab w:val="left" w:pos="3653"/>
        </w:tabs>
        <w:ind w:firstLine="482"/>
        <w:rPr>
          <w:rFonts w:ascii="仿宋" w:hAnsi="仿宋" w:eastAsia="仿宋" w:cs="仿宋"/>
          <w:b/>
          <w:bCs/>
          <w:color w:val="000000"/>
          <w:sz w:val="24"/>
        </w:rPr>
      </w:pPr>
      <w:r>
        <w:rPr>
          <w:rFonts w:hint="eastAsia" w:ascii="仿宋" w:hAnsi="仿宋" w:eastAsia="仿宋" w:cs="仿宋"/>
          <w:b/>
          <w:bCs/>
          <w:color w:val="000000"/>
          <w:sz w:val="24"/>
        </w:rPr>
        <w:t>评判总得分=F1×A1+F2×A2+……+Fn×An</w:t>
      </w:r>
    </w:p>
    <w:p>
      <w:pPr>
        <w:pStyle w:val="2"/>
        <w:tabs>
          <w:tab w:val="left" w:pos="562"/>
          <w:tab w:val="left" w:pos="3372"/>
          <w:tab w:val="left" w:pos="3653"/>
        </w:tabs>
        <w:ind w:firstLine="482"/>
        <w:rPr>
          <w:rFonts w:ascii="仿宋" w:hAnsi="仿宋" w:eastAsia="仿宋" w:cs="仿宋"/>
          <w:b/>
          <w:bCs/>
          <w:color w:val="000000"/>
          <w:sz w:val="24"/>
        </w:rPr>
      </w:pPr>
      <w:r>
        <w:rPr>
          <w:rFonts w:hint="eastAsia" w:ascii="仿宋" w:hAnsi="仿宋" w:eastAsia="仿宋" w:cs="仿宋"/>
          <w:b/>
          <w:bCs/>
          <w:color w:val="000000"/>
          <w:sz w:val="24"/>
        </w:rPr>
        <w:t xml:space="preserve">F1、F2……Fn分别为各项评判因素的得分； </w:t>
      </w:r>
    </w:p>
    <w:p>
      <w:pPr>
        <w:pStyle w:val="2"/>
        <w:tabs>
          <w:tab w:val="left" w:pos="562"/>
          <w:tab w:val="left" w:pos="3372"/>
          <w:tab w:val="left" w:pos="3653"/>
        </w:tabs>
        <w:ind w:firstLine="482"/>
        <w:rPr>
          <w:rFonts w:ascii="仿宋" w:hAnsi="仿宋" w:eastAsia="仿宋" w:cs="仿宋"/>
          <w:b/>
          <w:bCs/>
          <w:sz w:val="24"/>
        </w:rPr>
      </w:pPr>
      <w:r>
        <w:rPr>
          <w:rFonts w:hint="eastAsia" w:ascii="仿宋" w:hAnsi="仿宋" w:eastAsia="仿宋" w:cs="仿宋"/>
          <w:b/>
          <w:bCs/>
          <w:color w:val="000000"/>
          <w:sz w:val="24"/>
        </w:rPr>
        <w:t>A1、A2、……An 分别为各项评判因素所占的权重(A1+A2+……+An=1)。</w:t>
      </w:r>
    </w:p>
    <w:p>
      <w:pPr>
        <w:ind w:firstLine="480"/>
        <w:rPr>
          <w:rFonts w:ascii="仿宋" w:hAnsi="仿宋" w:eastAsia="仿宋" w:cs="仿宋"/>
          <w:color w:val="000000"/>
          <w:sz w:val="24"/>
        </w:rPr>
      </w:pPr>
      <w:r>
        <w:rPr>
          <w:rFonts w:hint="eastAsia" w:ascii="仿宋" w:hAnsi="仿宋" w:eastAsia="仿宋" w:cs="仿宋"/>
          <w:color w:val="000000"/>
          <w:sz w:val="24"/>
        </w:rPr>
        <w:t>评审委员会对每个通过资格性检查和符合性检查且报价不超过预算控制金额的响应供应商进行评判，然后汇总每个响应供应商每项评判要素的评分，得分精确到小数点后两位（四舍五入）。</w:t>
      </w:r>
    </w:p>
    <w:p>
      <w:pPr>
        <w:wordWrap w:val="0"/>
        <w:ind w:firstLine="480"/>
        <w:jc w:val="left"/>
        <w:rPr>
          <w:rFonts w:ascii="仿宋" w:hAnsi="仿宋" w:eastAsia="仿宋" w:cs="仿宋"/>
          <w:color w:val="000000"/>
          <w:sz w:val="24"/>
        </w:rPr>
      </w:pPr>
      <w:r>
        <w:rPr>
          <w:rFonts w:hint="eastAsia" w:ascii="仿宋" w:hAnsi="仿宋" w:eastAsia="仿宋" w:cs="仿宋"/>
          <w:color w:val="000000"/>
          <w:sz w:val="24"/>
        </w:rPr>
        <w:t>评委会在评判时，按照以下量化的评判因素，对进入该阶段评判的各响应文件进行分析和比较：</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650"/>
        <w:gridCol w:w="1284"/>
        <w:gridCol w:w="756"/>
        <w:gridCol w:w="5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宋体"/>
                <w:b/>
                <w:bCs/>
                <w:sz w:val="18"/>
                <w:szCs w:val="18"/>
              </w:rPr>
            </w:pPr>
            <w:r>
              <w:rPr>
                <w:rFonts w:hint="eastAsia" w:ascii="宋体" w:hAnsi="宋体" w:eastAsia="宋体" w:cs="宋体"/>
                <w:b/>
                <w:bCs/>
                <w:sz w:val="18"/>
                <w:szCs w:val="18"/>
              </w:rPr>
              <w:t>序号</w:t>
            </w:r>
          </w:p>
        </w:tc>
        <w:tc>
          <w:tcPr>
            <w:tcW w:w="2819"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宋体"/>
                <w:b/>
                <w:bCs/>
                <w:sz w:val="18"/>
                <w:szCs w:val="18"/>
              </w:rPr>
            </w:pPr>
            <w:r>
              <w:rPr>
                <w:rFonts w:hint="eastAsia" w:ascii="宋体" w:hAnsi="宋体" w:eastAsia="宋体" w:cs="宋体"/>
                <w:b/>
                <w:bCs/>
                <w:sz w:val="18"/>
                <w:szCs w:val="18"/>
              </w:rPr>
              <w:t>评分项</w:t>
            </w:r>
          </w:p>
        </w:tc>
        <w:tc>
          <w:tcPr>
            <w:tcW w:w="552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宋体"/>
                <w:b/>
                <w:bCs/>
                <w:sz w:val="18"/>
                <w:szCs w:val="18"/>
              </w:rPr>
            </w:pPr>
            <w:r>
              <w:rPr>
                <w:rFonts w:hint="eastAsia" w:ascii="宋体" w:hAnsi="宋体" w:eastAsia="宋体" w:cs="宋体"/>
                <w:b/>
                <w:bCs/>
                <w:sz w:val="18"/>
                <w:szCs w:val="18"/>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宋体"/>
                <w:b/>
                <w:bCs/>
                <w:sz w:val="18"/>
                <w:szCs w:val="18"/>
              </w:rPr>
            </w:pPr>
            <w:r>
              <w:rPr>
                <w:rFonts w:hint="eastAsia" w:ascii="宋体" w:hAnsi="宋体" w:eastAsia="宋体" w:cs="宋体"/>
                <w:b/>
                <w:bCs/>
                <w:sz w:val="18"/>
                <w:szCs w:val="18"/>
              </w:rPr>
              <w:t>1</w:t>
            </w:r>
          </w:p>
        </w:tc>
        <w:tc>
          <w:tcPr>
            <w:tcW w:w="2819"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宋体"/>
                <w:b/>
                <w:bCs/>
                <w:sz w:val="18"/>
                <w:szCs w:val="18"/>
              </w:rPr>
            </w:pPr>
            <w:r>
              <w:rPr>
                <w:rFonts w:hint="eastAsia" w:ascii="宋体" w:hAnsi="宋体" w:eastAsia="宋体" w:cs="宋体"/>
                <w:b/>
                <w:bCs/>
                <w:sz w:val="18"/>
                <w:szCs w:val="18"/>
              </w:rPr>
              <w:t>价格</w:t>
            </w:r>
          </w:p>
        </w:tc>
        <w:tc>
          <w:tcPr>
            <w:tcW w:w="552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宋体"/>
                <w:b/>
                <w:bCs/>
                <w:sz w:val="18"/>
                <w:szCs w:val="18"/>
              </w:rPr>
            </w:pPr>
            <w:r>
              <w:rPr>
                <w:rFonts w:hint="eastAsia" w:ascii="宋体" w:hAnsi="宋体" w:eastAsia="宋体" w:cs="宋体"/>
                <w:b/>
                <w:bCs/>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宋体"/>
                <w:b/>
                <w:bCs/>
                <w:sz w:val="18"/>
                <w:szCs w:val="18"/>
              </w:rPr>
            </w:pPr>
            <w:r>
              <w:rPr>
                <w:rFonts w:hint="eastAsia" w:ascii="宋体" w:hAnsi="宋体" w:eastAsia="宋体" w:cs="宋体"/>
                <w:b/>
                <w:bCs/>
                <w:sz w:val="18"/>
                <w:szCs w:val="18"/>
              </w:rPr>
              <w:t>2</w:t>
            </w:r>
          </w:p>
        </w:tc>
        <w:tc>
          <w:tcPr>
            <w:tcW w:w="2819"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宋体"/>
                <w:b/>
                <w:bCs/>
                <w:sz w:val="18"/>
                <w:szCs w:val="18"/>
              </w:rPr>
            </w:pPr>
            <w:r>
              <w:rPr>
                <w:rFonts w:hint="eastAsia" w:ascii="宋体" w:hAnsi="宋体" w:eastAsia="宋体" w:cs="宋体"/>
                <w:b/>
                <w:bCs/>
                <w:sz w:val="18"/>
                <w:szCs w:val="18"/>
              </w:rPr>
              <w:t>技术部分</w:t>
            </w:r>
          </w:p>
        </w:tc>
        <w:tc>
          <w:tcPr>
            <w:tcW w:w="552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宋体"/>
                <w:b/>
                <w:bCs/>
                <w:sz w:val="18"/>
                <w:szCs w:val="18"/>
              </w:rPr>
            </w:pPr>
            <w:r>
              <w:rPr>
                <w:rFonts w:hint="eastAsia" w:ascii="宋体" w:hAnsi="宋体" w:eastAsia="宋体" w:cs="宋体"/>
                <w:b/>
                <w:bCs/>
                <w:sz w:val="18"/>
                <w:szCs w:val="18"/>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691" w:type="dxa"/>
            <w:vMerge w:val="restart"/>
            <w:tcBorders>
              <w:top w:val="single" w:color="auto" w:sz="4" w:space="0"/>
              <w:left w:val="single" w:color="auto" w:sz="4" w:space="0"/>
              <w:right w:val="single" w:color="auto" w:sz="4" w:space="0"/>
            </w:tcBorders>
          </w:tcPr>
          <w:p>
            <w:pPr>
              <w:ind w:firstLine="360"/>
              <w:jc w:val="center"/>
              <w:rPr>
                <w:rFonts w:ascii="宋体" w:hAnsi="宋体" w:eastAsia="宋体" w:cs="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宋体"/>
                <w:b/>
                <w:bCs/>
                <w:sz w:val="18"/>
                <w:szCs w:val="18"/>
              </w:rPr>
            </w:pPr>
            <w:r>
              <w:rPr>
                <w:rFonts w:hint="eastAsia" w:ascii="宋体" w:hAnsi="宋体" w:eastAsia="宋体" w:cs="宋体"/>
                <w:b/>
                <w:bCs/>
                <w:sz w:val="18"/>
                <w:szCs w:val="18"/>
              </w:rPr>
              <w:t>序号</w:t>
            </w:r>
          </w:p>
        </w:tc>
        <w:tc>
          <w:tcPr>
            <w:tcW w:w="135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宋体"/>
                <w:b/>
                <w:bCs/>
                <w:sz w:val="18"/>
                <w:szCs w:val="18"/>
              </w:rPr>
            </w:pPr>
            <w:r>
              <w:rPr>
                <w:rFonts w:hint="eastAsia" w:ascii="宋体" w:hAnsi="宋体" w:eastAsia="宋体" w:cs="宋体"/>
                <w:b/>
                <w:bCs/>
                <w:sz w:val="18"/>
                <w:szCs w:val="18"/>
              </w:rPr>
              <w:t>内容</w:t>
            </w:r>
          </w:p>
        </w:tc>
        <w:tc>
          <w:tcPr>
            <w:tcW w:w="791"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宋体"/>
                <w:b/>
                <w:bCs/>
                <w:sz w:val="18"/>
                <w:szCs w:val="18"/>
              </w:rPr>
            </w:pPr>
            <w:r>
              <w:rPr>
                <w:rFonts w:hint="eastAsia" w:ascii="宋体" w:hAnsi="宋体" w:eastAsia="宋体" w:cs="宋体"/>
                <w:b/>
                <w:bCs/>
                <w:sz w:val="18"/>
                <w:szCs w:val="18"/>
              </w:rPr>
              <w:t>权重</w:t>
            </w:r>
          </w:p>
        </w:tc>
        <w:tc>
          <w:tcPr>
            <w:tcW w:w="552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b/>
                <w:bCs/>
                <w:sz w:val="18"/>
                <w:szCs w:val="18"/>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1" w:type="dxa"/>
            <w:vMerge w:val="continue"/>
            <w:tcBorders>
              <w:left w:val="single" w:color="auto" w:sz="4" w:space="0"/>
              <w:right w:val="single" w:color="auto" w:sz="4" w:space="0"/>
            </w:tcBorders>
            <w:vAlign w:val="center"/>
          </w:tcPr>
          <w:p>
            <w:pPr>
              <w:widowControl/>
              <w:ind w:firstLine="360"/>
              <w:jc w:val="left"/>
              <w:rPr>
                <w:rFonts w:ascii="宋体" w:hAnsi="宋体" w:eastAsia="宋体" w:cs="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sz w:val="18"/>
                <w:szCs w:val="18"/>
              </w:rPr>
              <w:t>1</w:t>
            </w:r>
          </w:p>
        </w:tc>
        <w:tc>
          <w:tcPr>
            <w:tcW w:w="135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sz w:val="18"/>
                <w:szCs w:val="18"/>
              </w:rPr>
              <w:t>服务方案</w:t>
            </w:r>
          </w:p>
        </w:tc>
        <w:tc>
          <w:tcPr>
            <w:tcW w:w="79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sz w:val="18"/>
                <w:szCs w:val="18"/>
              </w:rPr>
              <w:t>15</w:t>
            </w:r>
          </w:p>
        </w:tc>
        <w:tc>
          <w:tcPr>
            <w:tcW w:w="5529" w:type="dxa"/>
            <w:tcBorders>
              <w:top w:val="single" w:color="auto" w:sz="4" w:space="0"/>
              <w:left w:val="single" w:color="auto" w:sz="4" w:space="0"/>
              <w:bottom w:val="single" w:color="auto" w:sz="4" w:space="0"/>
              <w:right w:val="single" w:color="auto" w:sz="4" w:space="0"/>
            </w:tcBorders>
          </w:tcPr>
          <w:p>
            <w:pPr>
              <w:numPr>
                <w:ilvl w:val="0"/>
                <w:numId w:val="5"/>
              </w:numPr>
              <w:spacing w:line="360" w:lineRule="auto"/>
              <w:ind w:firstLine="0" w:firstLineChars="0"/>
              <w:rPr>
                <w:rFonts w:ascii="宋体" w:hAnsi="宋体" w:eastAsia="宋体" w:cs="宋体"/>
                <w:color w:val="000000"/>
                <w:kern w:val="0"/>
                <w:sz w:val="18"/>
                <w:szCs w:val="18"/>
              </w:rPr>
            </w:pPr>
            <w:r>
              <w:rPr>
                <w:rFonts w:hint="eastAsia" w:ascii="宋体" w:hAnsi="宋体" w:eastAsia="宋体" w:cs="宋体"/>
                <w:b/>
                <w:bCs/>
                <w:color w:val="000000"/>
                <w:kern w:val="0"/>
                <w:sz w:val="18"/>
                <w:szCs w:val="18"/>
              </w:rPr>
              <w:t>评分内容：</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根据投标人提供的项目服务方案进行打分，内容包括：</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w:t>
            </w:r>
            <w:r>
              <w:rPr>
                <w:rFonts w:hint="eastAsia" w:ascii="宋体" w:hAnsi="宋体" w:eastAsia="宋体" w:cs="宋体"/>
                <w:sz w:val="18"/>
                <w:szCs w:val="18"/>
              </w:rPr>
              <w:t>服务工作范围</w:t>
            </w:r>
            <w:r>
              <w:rPr>
                <w:rFonts w:hint="eastAsia" w:ascii="宋体" w:hAnsi="宋体" w:eastAsia="宋体" w:cs="宋体"/>
                <w:color w:val="000000"/>
                <w:kern w:val="0"/>
                <w:sz w:val="18"/>
                <w:szCs w:val="18"/>
              </w:rPr>
              <w:t>；</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w:t>
            </w:r>
            <w:r>
              <w:rPr>
                <w:rFonts w:hint="eastAsia" w:ascii="宋体" w:hAnsi="宋体" w:eastAsia="宋体" w:cs="宋体"/>
                <w:sz w:val="18"/>
                <w:szCs w:val="18"/>
              </w:rPr>
              <w:t>服务工作内容</w:t>
            </w:r>
            <w:r>
              <w:rPr>
                <w:rFonts w:hint="eastAsia" w:ascii="宋体" w:hAnsi="宋体" w:eastAsia="宋体" w:cs="宋体"/>
                <w:color w:val="000000"/>
                <w:kern w:val="0"/>
                <w:sz w:val="18"/>
                <w:szCs w:val="18"/>
              </w:rPr>
              <w:t>；</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3、安装服务计划；</w:t>
            </w:r>
          </w:p>
          <w:p>
            <w:pPr>
              <w:numPr>
                <w:ilvl w:val="255"/>
                <w:numId w:val="0"/>
              </w:numPr>
              <w:spacing w:line="360" w:lineRule="auto"/>
              <w:rPr>
                <w:rFonts w:ascii="宋体" w:hAnsi="宋体" w:eastAsia="宋体" w:cs="宋体"/>
                <w:color w:val="000000"/>
                <w:kern w:val="0"/>
                <w:sz w:val="18"/>
                <w:szCs w:val="18"/>
              </w:rPr>
            </w:pPr>
            <w:r>
              <w:rPr>
                <w:rFonts w:hint="eastAsia" w:ascii="宋体" w:hAnsi="宋体" w:eastAsia="宋体" w:cs="宋体"/>
                <w:color w:val="000000"/>
                <w:kern w:val="0"/>
                <w:sz w:val="18"/>
                <w:szCs w:val="18"/>
              </w:rPr>
              <w:t>4、服务人员要求；</w:t>
            </w:r>
            <w:r>
              <w:rPr>
                <w:rFonts w:hint="eastAsia" w:ascii="宋体" w:hAnsi="宋体" w:eastAsia="宋体" w:cs="宋体"/>
                <w:color w:val="000000"/>
                <w:kern w:val="0"/>
                <w:sz w:val="18"/>
                <w:szCs w:val="18"/>
              </w:rPr>
              <w:br w:type="textWrapping"/>
            </w:r>
            <w:r>
              <w:rPr>
                <w:rFonts w:hint="eastAsia" w:ascii="宋体" w:hAnsi="宋体" w:eastAsia="宋体" w:cs="宋体"/>
                <w:b/>
                <w:bCs/>
                <w:color w:val="000000"/>
                <w:kern w:val="0"/>
                <w:sz w:val="18"/>
                <w:szCs w:val="18"/>
              </w:rPr>
              <w:t>（二）评分依据：</w:t>
            </w:r>
          </w:p>
          <w:p>
            <w:pPr>
              <w:numPr>
                <w:ilvl w:val="255"/>
                <w:numId w:val="0"/>
              </w:numPr>
              <w:spacing w:line="360" w:lineRule="auto"/>
              <w:rPr>
                <w:rFonts w:ascii="宋体" w:hAnsi="宋体" w:eastAsia="宋体" w:cs="宋体"/>
                <w:color w:val="000000"/>
                <w:kern w:val="0"/>
                <w:sz w:val="18"/>
                <w:szCs w:val="18"/>
              </w:rPr>
            </w:pPr>
            <w:r>
              <w:rPr>
                <w:rFonts w:hint="eastAsia" w:ascii="宋体" w:hAnsi="宋体" w:eastAsia="宋体" w:cs="宋体"/>
                <w:color w:val="000000"/>
                <w:kern w:val="0"/>
                <w:sz w:val="18"/>
                <w:szCs w:val="18"/>
              </w:rPr>
              <w:t>1、投标人投标文件包含以上任意一项内容，即可得2分，四项全部包含的得8分。</w:t>
            </w:r>
          </w:p>
          <w:p>
            <w:pPr>
              <w:numPr>
                <w:ilvl w:val="255"/>
                <w:numId w:val="0"/>
              </w:numPr>
              <w:spacing w:line="360" w:lineRule="auto"/>
              <w:jc w:val="left"/>
              <w:rPr>
                <w:rStyle w:val="10"/>
                <w:rFonts w:ascii="宋体" w:hAnsi="宋体" w:eastAsia="宋体" w:cs="宋体"/>
                <w:sz w:val="18"/>
                <w:szCs w:val="18"/>
              </w:rPr>
            </w:pPr>
            <w:r>
              <w:rPr>
                <w:rFonts w:hint="eastAsia" w:ascii="宋体" w:hAnsi="宋体" w:eastAsia="宋体" w:cs="宋体"/>
                <w:color w:val="000000"/>
                <w:kern w:val="0"/>
                <w:sz w:val="18"/>
                <w:szCs w:val="18"/>
              </w:rPr>
              <w:t>2、评标委员会根据响应情况，</w:t>
            </w:r>
            <w:r>
              <w:rPr>
                <w:rStyle w:val="10"/>
                <w:rFonts w:hint="eastAsia" w:ascii="宋体" w:hAnsi="宋体" w:eastAsia="宋体" w:cs="宋体"/>
                <w:sz w:val="18"/>
                <w:szCs w:val="18"/>
              </w:rPr>
              <w:t>评审出优、良、中、差。</w:t>
            </w:r>
          </w:p>
          <w:p>
            <w:pPr>
              <w:numPr>
                <w:ilvl w:val="255"/>
                <w:numId w:val="0"/>
              </w:numPr>
              <w:spacing w:line="360" w:lineRule="auto"/>
              <w:jc w:val="left"/>
              <w:rPr>
                <w:rFonts w:ascii="宋体" w:hAnsi="宋体" w:eastAsia="宋体" w:cs="宋体"/>
                <w:b/>
                <w:i/>
                <w:sz w:val="18"/>
                <w:szCs w:val="18"/>
                <w:u w:val="single"/>
              </w:rPr>
            </w:pPr>
            <w:r>
              <w:rPr>
                <w:rFonts w:hint="eastAsia" w:ascii="宋体" w:hAnsi="宋体" w:eastAsia="宋体" w:cs="宋体"/>
                <w:color w:val="000000"/>
                <w:kern w:val="0"/>
                <w:sz w:val="18"/>
                <w:szCs w:val="18"/>
              </w:rPr>
              <w:t>评审为优：方案内容全面、具体，科学合理，针对性、可操作性强，加7分；</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评审为良：方案内容比较全面、具体，比较合理，具有一定针对性、可操作性，加4分；</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评审为中：有方案内容，合理性一般，部分方案具有针对性、可操作性，加2分。</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评审为差：方案内容简单，缺乏针对性、可操作性，不加分。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691" w:type="dxa"/>
            <w:vMerge w:val="continue"/>
            <w:tcBorders>
              <w:left w:val="single" w:color="auto" w:sz="4" w:space="0"/>
              <w:right w:val="single" w:color="auto" w:sz="4" w:space="0"/>
            </w:tcBorders>
            <w:vAlign w:val="center"/>
          </w:tcPr>
          <w:p>
            <w:pPr>
              <w:widowControl/>
              <w:ind w:firstLine="360"/>
              <w:jc w:val="left"/>
              <w:rPr>
                <w:rFonts w:ascii="宋体" w:hAnsi="宋体" w:eastAsia="宋体" w:cs="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sz w:val="18"/>
                <w:szCs w:val="18"/>
              </w:rPr>
              <w:t>2</w:t>
            </w:r>
          </w:p>
        </w:tc>
        <w:tc>
          <w:tcPr>
            <w:tcW w:w="135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sz w:val="18"/>
                <w:szCs w:val="18"/>
              </w:rPr>
              <w:t>项目重点难点分析、应对措施及相关的合理化建议</w:t>
            </w:r>
          </w:p>
        </w:tc>
        <w:tc>
          <w:tcPr>
            <w:tcW w:w="79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sz w:val="18"/>
                <w:szCs w:val="18"/>
              </w:rPr>
              <w:t>10</w:t>
            </w:r>
          </w:p>
        </w:tc>
        <w:tc>
          <w:tcPr>
            <w:tcW w:w="5529"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left"/>
              <w:rPr>
                <w:rFonts w:ascii="宋体" w:hAnsi="宋体" w:eastAsia="宋体" w:cs="宋体"/>
                <w:sz w:val="18"/>
                <w:szCs w:val="18"/>
              </w:rPr>
            </w:pPr>
            <w:r>
              <w:rPr>
                <w:rFonts w:hint="eastAsia" w:ascii="宋体" w:hAnsi="宋体" w:eastAsia="宋体" w:cs="宋体"/>
                <w:b/>
                <w:bCs/>
                <w:color w:val="000000"/>
                <w:kern w:val="0"/>
                <w:sz w:val="18"/>
                <w:szCs w:val="18"/>
              </w:rPr>
              <w:t>（一）评分内容：</w:t>
            </w:r>
            <w:r>
              <w:rPr>
                <w:rFonts w:hint="eastAsia" w:ascii="宋体" w:hAnsi="宋体" w:eastAsia="宋体" w:cs="宋体"/>
                <w:b/>
                <w:bCs/>
                <w:color w:val="000000"/>
                <w:kern w:val="0"/>
                <w:sz w:val="18"/>
                <w:szCs w:val="18"/>
              </w:rPr>
              <w:br w:type="textWrapping"/>
            </w:r>
            <w:r>
              <w:rPr>
                <w:rFonts w:hint="eastAsia" w:ascii="宋体" w:hAnsi="宋体" w:eastAsia="宋体" w:cs="宋体"/>
                <w:color w:val="000000"/>
                <w:kern w:val="0"/>
                <w:sz w:val="18"/>
                <w:szCs w:val="18"/>
              </w:rPr>
              <w:t>根据投标人提供的项目重点难点分析、应对措施及相关的合理化建议进行打分，内容包括：</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1、项目重点难点分析；</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2、项目重点难点解决措施；</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3、项目合理化建议。</w:t>
            </w:r>
            <w:r>
              <w:rPr>
                <w:rFonts w:hint="eastAsia" w:ascii="宋体" w:hAnsi="宋体" w:eastAsia="宋体" w:cs="宋体"/>
                <w:b/>
                <w:bCs/>
                <w:color w:val="000000"/>
                <w:kern w:val="0"/>
                <w:sz w:val="18"/>
                <w:szCs w:val="18"/>
              </w:rPr>
              <w:br w:type="textWrapping"/>
            </w:r>
            <w:r>
              <w:rPr>
                <w:rFonts w:hint="eastAsia" w:ascii="宋体" w:hAnsi="宋体" w:eastAsia="宋体" w:cs="宋体"/>
                <w:b/>
                <w:bCs/>
                <w:color w:val="000000"/>
                <w:kern w:val="0"/>
                <w:sz w:val="18"/>
                <w:szCs w:val="18"/>
              </w:rPr>
              <w:t>（二）评分依据：</w:t>
            </w:r>
            <w:r>
              <w:rPr>
                <w:rFonts w:hint="eastAsia" w:ascii="宋体" w:hAnsi="宋体" w:eastAsia="宋体" w:cs="宋体"/>
                <w:b/>
                <w:bCs/>
                <w:color w:val="000000"/>
                <w:kern w:val="0"/>
                <w:sz w:val="18"/>
                <w:szCs w:val="18"/>
              </w:rPr>
              <w:br w:type="textWrapping"/>
            </w:r>
            <w:r>
              <w:rPr>
                <w:rFonts w:hint="eastAsia" w:ascii="宋体" w:hAnsi="宋体" w:eastAsia="宋体" w:cs="宋体"/>
                <w:color w:val="000000"/>
                <w:kern w:val="0"/>
                <w:sz w:val="18"/>
                <w:szCs w:val="18"/>
              </w:rPr>
              <w:t>1、投标人投标文件包含以上任意一项内容，即可得2分，三项全部包含的得6分。</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2、评标委员会根据响应情况，</w:t>
            </w:r>
            <w:r>
              <w:rPr>
                <w:rStyle w:val="10"/>
                <w:rFonts w:hint="eastAsia" w:ascii="宋体" w:hAnsi="宋体" w:eastAsia="宋体" w:cs="宋体"/>
                <w:sz w:val="18"/>
                <w:szCs w:val="18"/>
              </w:rPr>
              <w:t>评审出优、良、中、差。</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评审为优：方案内容全面、具体，科学合理，针对性、可操作性强，加4分；</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评审为良：方案内容比较全面、具体，比较合理，具有一定针对性、可操作性，加2分；</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评审为中：有方案内容，合理性一般，部分方案具有针对性、可操作性，加1分。</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评审为差：方案内容简单，缺乏针对性、可操作性，不加分。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1" w:hRule="atLeast"/>
          <w:jc w:val="center"/>
        </w:trPr>
        <w:tc>
          <w:tcPr>
            <w:tcW w:w="691" w:type="dxa"/>
            <w:vMerge w:val="continue"/>
            <w:tcBorders>
              <w:left w:val="single" w:color="auto" w:sz="4" w:space="0"/>
              <w:right w:val="single" w:color="auto" w:sz="4" w:space="0"/>
            </w:tcBorders>
            <w:vAlign w:val="center"/>
          </w:tcPr>
          <w:p>
            <w:pPr>
              <w:widowControl/>
              <w:ind w:firstLine="360"/>
              <w:jc w:val="left"/>
              <w:rPr>
                <w:rFonts w:ascii="宋体" w:hAnsi="宋体" w:eastAsia="宋体" w:cs="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sz w:val="18"/>
                <w:szCs w:val="18"/>
              </w:rPr>
              <w:t>3</w:t>
            </w:r>
          </w:p>
        </w:tc>
        <w:tc>
          <w:tcPr>
            <w:tcW w:w="135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sz w:val="18"/>
                <w:szCs w:val="18"/>
              </w:rPr>
              <w:t>质量（完成时间、安全）保障措施及方案</w:t>
            </w:r>
          </w:p>
        </w:tc>
        <w:tc>
          <w:tcPr>
            <w:tcW w:w="79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sz w:val="18"/>
                <w:szCs w:val="18"/>
              </w:rPr>
              <w:t>10</w:t>
            </w:r>
          </w:p>
        </w:tc>
        <w:tc>
          <w:tcPr>
            <w:tcW w:w="5529" w:type="dxa"/>
            <w:tcBorders>
              <w:top w:val="single" w:color="auto" w:sz="4" w:space="0"/>
              <w:left w:val="single" w:color="auto" w:sz="4" w:space="0"/>
              <w:bottom w:val="single" w:color="auto" w:sz="4" w:space="0"/>
              <w:right w:val="single" w:color="auto" w:sz="4" w:space="0"/>
            </w:tcBorders>
          </w:tcPr>
          <w:p>
            <w:pPr>
              <w:widowControl/>
              <w:spacing w:after="60" w:line="360" w:lineRule="auto"/>
              <w:ind w:firstLine="0" w:firstLineChars="0"/>
              <w:jc w:val="left"/>
              <w:rPr>
                <w:rFonts w:ascii="宋体" w:hAnsi="宋体" w:eastAsia="宋体" w:cs="宋体"/>
                <w:sz w:val="18"/>
                <w:szCs w:val="18"/>
              </w:rPr>
            </w:pPr>
            <w:r>
              <w:rPr>
                <w:rStyle w:val="10"/>
                <w:rFonts w:hint="eastAsia" w:ascii="宋体" w:hAnsi="宋体" w:eastAsia="宋体" w:cs="宋体"/>
                <w:b/>
                <w:bCs/>
                <w:sz w:val="18"/>
                <w:szCs w:val="18"/>
              </w:rPr>
              <w:t>（一）评分内容：</w:t>
            </w:r>
            <w:r>
              <w:rPr>
                <w:rStyle w:val="10"/>
                <w:rFonts w:hint="eastAsia" w:ascii="宋体" w:hAnsi="宋体" w:eastAsia="宋体" w:cs="宋体"/>
                <w:sz w:val="18"/>
                <w:szCs w:val="18"/>
              </w:rPr>
              <w:br w:type="textWrapping"/>
            </w:r>
            <w:r>
              <w:rPr>
                <w:rStyle w:val="10"/>
                <w:rFonts w:hint="eastAsia" w:ascii="宋体" w:hAnsi="宋体" w:eastAsia="宋体" w:cs="宋体"/>
                <w:sz w:val="18"/>
                <w:szCs w:val="18"/>
              </w:rPr>
              <w:t>根据投标人提供的质量（完成时间、安全）保障措施进行打分，内容包括：</w:t>
            </w:r>
            <w:r>
              <w:rPr>
                <w:rStyle w:val="10"/>
                <w:rFonts w:hint="eastAsia" w:ascii="宋体" w:hAnsi="宋体" w:eastAsia="宋体" w:cs="宋体"/>
                <w:sz w:val="18"/>
                <w:szCs w:val="18"/>
              </w:rPr>
              <w:br w:type="textWrapping"/>
            </w:r>
            <w:r>
              <w:rPr>
                <w:rStyle w:val="10"/>
                <w:rFonts w:hint="eastAsia" w:ascii="宋体" w:hAnsi="宋体" w:eastAsia="宋体" w:cs="宋体"/>
                <w:sz w:val="18"/>
                <w:szCs w:val="18"/>
              </w:rPr>
              <w:t>1、项目质量保障方案；</w:t>
            </w:r>
            <w:r>
              <w:rPr>
                <w:rStyle w:val="10"/>
                <w:rFonts w:hint="eastAsia" w:ascii="宋体" w:hAnsi="宋体" w:eastAsia="宋体" w:cs="宋体"/>
                <w:sz w:val="18"/>
                <w:szCs w:val="18"/>
              </w:rPr>
              <w:br w:type="textWrapping"/>
            </w:r>
            <w:r>
              <w:rPr>
                <w:rStyle w:val="10"/>
                <w:rFonts w:hint="eastAsia" w:ascii="宋体" w:hAnsi="宋体" w:eastAsia="宋体" w:cs="宋体"/>
                <w:sz w:val="18"/>
                <w:szCs w:val="18"/>
              </w:rPr>
              <w:t>2、项目进度保障措施；</w:t>
            </w:r>
            <w:r>
              <w:rPr>
                <w:rStyle w:val="10"/>
                <w:rFonts w:hint="eastAsia" w:ascii="宋体" w:hAnsi="宋体" w:eastAsia="宋体" w:cs="宋体"/>
                <w:sz w:val="18"/>
                <w:szCs w:val="18"/>
              </w:rPr>
              <w:br w:type="textWrapping"/>
            </w:r>
            <w:r>
              <w:rPr>
                <w:rStyle w:val="10"/>
                <w:rFonts w:hint="eastAsia" w:ascii="宋体" w:hAnsi="宋体" w:eastAsia="宋体" w:cs="宋体"/>
                <w:sz w:val="18"/>
                <w:szCs w:val="18"/>
              </w:rPr>
              <w:t>3、项目安全保障措施。</w:t>
            </w:r>
            <w:r>
              <w:rPr>
                <w:rStyle w:val="10"/>
                <w:rFonts w:hint="eastAsia" w:ascii="宋体" w:hAnsi="宋体" w:eastAsia="宋体" w:cs="宋体"/>
                <w:sz w:val="18"/>
                <w:szCs w:val="18"/>
              </w:rPr>
              <w:br w:type="textWrapping"/>
            </w:r>
            <w:r>
              <w:rPr>
                <w:rStyle w:val="10"/>
                <w:rFonts w:hint="eastAsia" w:ascii="宋体" w:hAnsi="宋体" w:eastAsia="宋体" w:cs="宋体"/>
                <w:b/>
                <w:bCs/>
                <w:sz w:val="18"/>
                <w:szCs w:val="18"/>
              </w:rPr>
              <w:t>（二）评分依据：</w:t>
            </w:r>
            <w:r>
              <w:rPr>
                <w:rStyle w:val="10"/>
                <w:rFonts w:hint="eastAsia" w:ascii="宋体" w:hAnsi="宋体" w:eastAsia="宋体" w:cs="宋体"/>
                <w:sz w:val="18"/>
                <w:szCs w:val="18"/>
              </w:rPr>
              <w:br w:type="textWrapping"/>
            </w:r>
            <w:r>
              <w:rPr>
                <w:rStyle w:val="10"/>
                <w:rFonts w:hint="eastAsia" w:ascii="宋体" w:hAnsi="宋体" w:eastAsia="宋体" w:cs="宋体"/>
                <w:sz w:val="18"/>
                <w:szCs w:val="18"/>
              </w:rPr>
              <w:t>1、投标人投标文件包含以上任意一项内容，即可得2分，三项全部包含的得6分。</w:t>
            </w:r>
            <w:r>
              <w:rPr>
                <w:rStyle w:val="10"/>
                <w:rFonts w:hint="eastAsia" w:ascii="宋体" w:hAnsi="宋体" w:eastAsia="宋体" w:cs="宋体"/>
                <w:sz w:val="18"/>
                <w:szCs w:val="18"/>
              </w:rPr>
              <w:br w:type="textWrapping"/>
            </w:r>
            <w:r>
              <w:rPr>
                <w:rStyle w:val="10"/>
                <w:rFonts w:hint="eastAsia" w:ascii="宋体" w:hAnsi="宋体" w:eastAsia="宋体" w:cs="宋体"/>
                <w:sz w:val="18"/>
                <w:szCs w:val="18"/>
              </w:rPr>
              <w:t>2、评标委员会根据响应情况，评审出优、良、中、差。</w:t>
            </w:r>
            <w:r>
              <w:rPr>
                <w:rStyle w:val="10"/>
                <w:rFonts w:hint="eastAsia" w:ascii="宋体" w:hAnsi="宋体" w:eastAsia="宋体" w:cs="宋体"/>
                <w:sz w:val="18"/>
                <w:szCs w:val="18"/>
              </w:rPr>
              <w:br w:type="textWrapping"/>
            </w:r>
            <w:r>
              <w:rPr>
                <w:rStyle w:val="10"/>
                <w:rFonts w:hint="eastAsia" w:ascii="宋体" w:hAnsi="宋体" w:eastAsia="宋体" w:cs="宋体"/>
                <w:sz w:val="18"/>
                <w:szCs w:val="18"/>
              </w:rPr>
              <w:t>评审为优：方案内容全面、具体，科学合理，针对性、可操作性强，加4分；</w:t>
            </w:r>
            <w:r>
              <w:rPr>
                <w:rStyle w:val="10"/>
                <w:rFonts w:hint="eastAsia" w:ascii="宋体" w:hAnsi="宋体" w:eastAsia="宋体" w:cs="宋体"/>
                <w:sz w:val="18"/>
                <w:szCs w:val="18"/>
              </w:rPr>
              <w:br w:type="textWrapping"/>
            </w:r>
            <w:r>
              <w:rPr>
                <w:rStyle w:val="10"/>
                <w:rFonts w:hint="eastAsia" w:ascii="宋体" w:hAnsi="宋体" w:eastAsia="宋体" w:cs="宋体"/>
                <w:sz w:val="18"/>
                <w:szCs w:val="18"/>
              </w:rPr>
              <w:t>评审为良：方案内容比较全面、具体，比较合理，具有一定针对性、可操作性，加2分；</w:t>
            </w:r>
            <w:r>
              <w:rPr>
                <w:rStyle w:val="10"/>
                <w:rFonts w:hint="eastAsia" w:ascii="宋体" w:hAnsi="宋体" w:eastAsia="宋体" w:cs="宋体"/>
                <w:sz w:val="18"/>
                <w:szCs w:val="18"/>
              </w:rPr>
              <w:br w:type="textWrapping"/>
            </w:r>
            <w:r>
              <w:rPr>
                <w:rStyle w:val="10"/>
                <w:rFonts w:hint="eastAsia" w:ascii="宋体" w:hAnsi="宋体" w:eastAsia="宋体" w:cs="宋体"/>
                <w:sz w:val="18"/>
                <w:szCs w:val="18"/>
              </w:rPr>
              <w:t>评审为中：有方案内容，合理性一般，部分方案具有针对性、可操作性，加1分。</w:t>
            </w:r>
            <w:r>
              <w:rPr>
                <w:rStyle w:val="10"/>
                <w:rFonts w:hint="eastAsia" w:ascii="宋体" w:hAnsi="宋体" w:eastAsia="宋体" w:cs="宋体"/>
                <w:sz w:val="18"/>
                <w:szCs w:val="18"/>
              </w:rPr>
              <w:br w:type="textWrapping"/>
            </w:r>
            <w:r>
              <w:rPr>
                <w:rStyle w:val="10"/>
                <w:rFonts w:hint="eastAsia" w:ascii="宋体" w:hAnsi="宋体" w:eastAsia="宋体" w:cs="宋体"/>
                <w:sz w:val="18"/>
                <w:szCs w:val="18"/>
              </w:rPr>
              <w:t>评审为差：方案内容简单，缺乏针对性、可操作性，不加分。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691" w:type="dxa"/>
            <w:vMerge w:val="continue"/>
            <w:tcBorders>
              <w:left w:val="single" w:color="auto" w:sz="4" w:space="0"/>
              <w:right w:val="single" w:color="auto" w:sz="4" w:space="0"/>
            </w:tcBorders>
            <w:vAlign w:val="center"/>
          </w:tcPr>
          <w:p>
            <w:pPr>
              <w:widowControl/>
              <w:ind w:firstLine="360"/>
              <w:jc w:val="left"/>
              <w:rPr>
                <w:rFonts w:ascii="宋体" w:hAnsi="宋体" w:eastAsia="宋体" w:cs="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sz w:val="18"/>
                <w:szCs w:val="18"/>
              </w:rPr>
              <w:t>4</w:t>
            </w:r>
          </w:p>
        </w:tc>
        <w:tc>
          <w:tcPr>
            <w:tcW w:w="135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color w:val="000000"/>
                <w:kern w:val="0"/>
                <w:sz w:val="18"/>
                <w:szCs w:val="18"/>
              </w:rPr>
              <w:t>产品技术指标符合程度评价</w:t>
            </w:r>
          </w:p>
        </w:tc>
        <w:tc>
          <w:tcPr>
            <w:tcW w:w="79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sz w:val="18"/>
                <w:szCs w:val="18"/>
              </w:rPr>
              <w:t>20</w:t>
            </w:r>
          </w:p>
        </w:tc>
        <w:tc>
          <w:tcPr>
            <w:tcW w:w="5529" w:type="dxa"/>
            <w:tcBorders>
              <w:top w:val="single" w:color="auto" w:sz="4" w:space="0"/>
              <w:left w:val="single" w:color="auto" w:sz="4" w:space="0"/>
              <w:bottom w:val="single" w:color="auto" w:sz="4" w:space="0"/>
              <w:right w:val="single" w:color="auto" w:sz="4" w:space="0"/>
            </w:tcBorders>
          </w:tcPr>
          <w:p>
            <w:pPr>
              <w:widowControl/>
              <w:spacing w:after="60"/>
              <w:ind w:firstLine="0" w:firstLineChars="0"/>
              <w:jc w:val="left"/>
              <w:rPr>
                <w:rFonts w:ascii="宋体" w:hAnsi="宋体" w:eastAsia="宋体" w:cs="宋体"/>
                <w:b/>
                <w:color w:val="000000"/>
                <w:kern w:val="0"/>
                <w:sz w:val="18"/>
                <w:szCs w:val="18"/>
              </w:rPr>
            </w:pPr>
            <w:r>
              <w:rPr>
                <w:rFonts w:hint="eastAsia" w:ascii="宋体" w:hAnsi="宋体" w:eastAsia="宋体" w:cs="宋体"/>
                <w:b/>
                <w:color w:val="000000"/>
                <w:kern w:val="0"/>
                <w:sz w:val="18"/>
                <w:szCs w:val="18"/>
              </w:rPr>
              <w:t>（一）评分内容：</w:t>
            </w:r>
          </w:p>
          <w:p>
            <w:pPr>
              <w:widowControl/>
              <w:spacing w:after="60"/>
              <w:ind w:firstLine="0" w:firstLineChars="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根据招标文件中“</w:t>
            </w:r>
            <w:r>
              <w:rPr>
                <w:rFonts w:hint="eastAsia"/>
                <w:sz w:val="18"/>
                <w:szCs w:val="18"/>
              </w:rPr>
              <w:t>服务技术指标要求</w:t>
            </w:r>
            <w:r>
              <w:rPr>
                <w:rFonts w:hint="eastAsia" w:ascii="宋体" w:hAnsi="宋体" w:eastAsia="宋体" w:cs="宋体"/>
                <w:color w:val="000000"/>
                <w:kern w:val="0"/>
                <w:sz w:val="18"/>
                <w:szCs w:val="18"/>
              </w:rPr>
              <w:t>”中具体内容，设备技术要求参数的满足程度进行评价；</w:t>
            </w:r>
          </w:p>
          <w:p>
            <w:pPr>
              <w:widowControl/>
              <w:spacing w:after="60"/>
              <w:ind w:firstLine="0" w:firstLineChars="0"/>
              <w:jc w:val="left"/>
              <w:rPr>
                <w:rFonts w:ascii="宋体" w:hAnsi="宋体" w:eastAsia="宋体" w:cs="宋体"/>
                <w:b/>
                <w:color w:val="000000"/>
                <w:kern w:val="0"/>
                <w:sz w:val="18"/>
                <w:szCs w:val="18"/>
              </w:rPr>
            </w:pPr>
            <w:r>
              <w:rPr>
                <w:rFonts w:hint="eastAsia" w:ascii="宋体" w:hAnsi="宋体" w:eastAsia="宋体" w:cs="宋体"/>
                <w:b/>
                <w:color w:val="000000"/>
                <w:kern w:val="0"/>
                <w:sz w:val="18"/>
                <w:szCs w:val="18"/>
              </w:rPr>
              <w:t>（二）评分依据：</w:t>
            </w:r>
          </w:p>
          <w:p>
            <w:pPr>
              <w:spacing w:line="360" w:lineRule="auto"/>
              <w:ind w:firstLine="0" w:firstLineChars="0"/>
              <w:jc w:val="left"/>
              <w:rPr>
                <w:rFonts w:ascii="宋体" w:hAnsi="宋体" w:eastAsia="宋体" w:cs="宋体"/>
                <w:sz w:val="18"/>
                <w:szCs w:val="18"/>
              </w:rPr>
            </w:pPr>
            <w:r>
              <w:rPr>
                <w:rFonts w:hint="eastAsia" w:ascii="宋体" w:hAnsi="宋体" w:eastAsia="宋体" w:cs="宋体"/>
                <w:color w:val="000000"/>
                <w:kern w:val="0"/>
                <w:sz w:val="18"/>
                <w:szCs w:val="18"/>
              </w:rPr>
              <w:t>评审委员会以投标文件《技术要求偏离表》响应情况进行打分：“▲”号重要技术指标，每有一项负偏离的扣2分；除带“▲”号重要技术指标以外的其它技术指标每有一项负偏离的扣1分,扣完为止。本项最高20分，最低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ascii="宋体" w:hAnsi="宋体" w:eastAsia="宋体" w:cs="宋体"/>
                <w:b/>
                <w:bCs/>
                <w:sz w:val="18"/>
                <w:szCs w:val="18"/>
              </w:rPr>
            </w:pPr>
            <w:r>
              <w:rPr>
                <w:rFonts w:hint="eastAsia" w:ascii="宋体" w:hAnsi="宋体" w:eastAsia="宋体" w:cs="宋体"/>
                <w:b/>
                <w:bCs/>
                <w:sz w:val="18"/>
                <w:szCs w:val="18"/>
              </w:rPr>
              <w:t>3</w:t>
            </w:r>
          </w:p>
        </w:tc>
        <w:tc>
          <w:tcPr>
            <w:tcW w:w="2819" w:type="dxa"/>
            <w:gridSpan w:val="3"/>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ascii="宋体" w:hAnsi="宋体" w:eastAsia="宋体" w:cs="宋体"/>
                <w:b/>
                <w:bCs/>
                <w:sz w:val="18"/>
                <w:szCs w:val="18"/>
              </w:rPr>
            </w:pPr>
            <w:r>
              <w:rPr>
                <w:rFonts w:hint="eastAsia" w:ascii="宋体" w:hAnsi="宋体" w:eastAsia="宋体" w:cs="宋体"/>
                <w:b/>
                <w:bCs/>
                <w:sz w:val="18"/>
                <w:szCs w:val="18"/>
              </w:rPr>
              <w:t>商务部分</w:t>
            </w:r>
          </w:p>
        </w:tc>
        <w:tc>
          <w:tcPr>
            <w:tcW w:w="5529" w:type="dxa"/>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ascii="宋体" w:hAnsi="宋体" w:eastAsia="宋体" w:cs="宋体"/>
                <w:b/>
                <w:bCs/>
                <w:sz w:val="18"/>
                <w:szCs w:val="18"/>
              </w:rPr>
            </w:pPr>
            <w:r>
              <w:rPr>
                <w:rFonts w:hint="eastAsia" w:ascii="宋体" w:hAnsi="宋体" w:eastAsia="宋体" w:cs="宋体"/>
                <w:b/>
                <w:bCs/>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691" w:type="dxa"/>
            <w:vMerge w:val="restart"/>
            <w:tcBorders>
              <w:top w:val="single" w:color="auto" w:sz="4" w:space="0"/>
              <w:left w:val="single" w:color="auto" w:sz="4" w:space="0"/>
              <w:right w:val="single" w:color="auto" w:sz="4" w:space="0"/>
            </w:tcBorders>
          </w:tcPr>
          <w:p>
            <w:pPr>
              <w:ind w:firstLine="360"/>
              <w:jc w:val="center"/>
              <w:rPr>
                <w:rFonts w:ascii="宋体" w:hAnsi="宋体" w:eastAsia="宋体" w:cs="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宋体"/>
                <w:b/>
                <w:bCs/>
                <w:sz w:val="18"/>
                <w:szCs w:val="18"/>
              </w:rPr>
            </w:pPr>
            <w:r>
              <w:rPr>
                <w:rFonts w:hint="eastAsia" w:ascii="宋体" w:hAnsi="宋体" w:eastAsia="宋体" w:cs="宋体"/>
                <w:b/>
                <w:bCs/>
                <w:sz w:val="18"/>
                <w:szCs w:val="18"/>
              </w:rPr>
              <w:t>序号</w:t>
            </w:r>
          </w:p>
        </w:tc>
        <w:tc>
          <w:tcPr>
            <w:tcW w:w="135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宋体"/>
                <w:b/>
                <w:bCs/>
                <w:sz w:val="18"/>
                <w:szCs w:val="18"/>
              </w:rPr>
            </w:pPr>
            <w:r>
              <w:rPr>
                <w:rFonts w:hint="eastAsia" w:ascii="宋体" w:hAnsi="宋体" w:eastAsia="宋体" w:cs="宋体"/>
                <w:b/>
                <w:bCs/>
                <w:sz w:val="18"/>
                <w:szCs w:val="18"/>
              </w:rPr>
              <w:t>内容</w:t>
            </w:r>
          </w:p>
        </w:tc>
        <w:tc>
          <w:tcPr>
            <w:tcW w:w="791"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宋体"/>
                <w:b/>
                <w:bCs/>
                <w:sz w:val="18"/>
                <w:szCs w:val="18"/>
              </w:rPr>
            </w:pPr>
            <w:r>
              <w:rPr>
                <w:rFonts w:hint="eastAsia" w:ascii="宋体" w:hAnsi="宋体" w:eastAsia="宋体" w:cs="宋体"/>
                <w:b/>
                <w:bCs/>
                <w:sz w:val="18"/>
                <w:szCs w:val="18"/>
              </w:rPr>
              <w:t>权重</w:t>
            </w:r>
          </w:p>
        </w:tc>
        <w:tc>
          <w:tcPr>
            <w:tcW w:w="552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宋体"/>
                <w:b/>
                <w:bCs/>
                <w:sz w:val="18"/>
                <w:szCs w:val="18"/>
              </w:rPr>
            </w:pPr>
            <w:r>
              <w:rPr>
                <w:rFonts w:hint="eastAsia" w:ascii="宋体" w:hAnsi="宋体" w:eastAsia="宋体" w:cs="宋体"/>
                <w:b/>
                <w:bCs/>
                <w:sz w:val="18"/>
                <w:szCs w:val="18"/>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Merge w:val="continue"/>
            <w:tcBorders>
              <w:left w:val="single" w:color="auto" w:sz="4" w:space="0"/>
              <w:right w:val="single" w:color="auto" w:sz="4" w:space="0"/>
            </w:tcBorders>
            <w:vAlign w:val="center"/>
          </w:tcPr>
          <w:p>
            <w:pPr>
              <w:widowControl/>
              <w:ind w:firstLine="360"/>
              <w:jc w:val="left"/>
              <w:rPr>
                <w:rFonts w:ascii="宋体" w:hAnsi="宋体" w:eastAsia="宋体" w:cs="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sz w:val="18"/>
                <w:szCs w:val="18"/>
              </w:rPr>
              <w:t>1</w:t>
            </w:r>
          </w:p>
        </w:tc>
        <w:tc>
          <w:tcPr>
            <w:tcW w:w="135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sz w:val="18"/>
                <w:szCs w:val="18"/>
              </w:rPr>
              <w:t>投标人通过相关认证情况</w:t>
            </w:r>
          </w:p>
        </w:tc>
        <w:tc>
          <w:tcPr>
            <w:tcW w:w="79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sz w:val="18"/>
                <w:szCs w:val="18"/>
              </w:rPr>
              <w:t>4</w:t>
            </w:r>
          </w:p>
        </w:tc>
        <w:tc>
          <w:tcPr>
            <w:tcW w:w="5529"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left"/>
              <w:rPr>
                <w:rFonts w:ascii="宋体" w:hAnsi="宋体" w:eastAsia="宋体" w:cs="宋体"/>
                <w:b/>
                <w:bCs/>
                <w:sz w:val="18"/>
                <w:szCs w:val="18"/>
              </w:rPr>
            </w:pPr>
            <w:r>
              <w:rPr>
                <w:rFonts w:hint="eastAsia" w:ascii="宋体" w:hAnsi="宋体" w:eastAsia="宋体" w:cs="宋体"/>
                <w:b/>
                <w:bCs/>
                <w:sz w:val="18"/>
                <w:szCs w:val="18"/>
              </w:rPr>
              <w:t>（一）评分内容：</w:t>
            </w:r>
          </w:p>
          <w:p>
            <w:pPr>
              <w:spacing w:line="360" w:lineRule="auto"/>
              <w:ind w:firstLine="0" w:firstLineChars="0"/>
              <w:jc w:val="left"/>
              <w:rPr>
                <w:rFonts w:ascii="宋体" w:hAnsi="宋体" w:eastAsia="宋体" w:cs="宋体"/>
                <w:sz w:val="18"/>
                <w:szCs w:val="18"/>
              </w:rPr>
            </w:pPr>
            <w:r>
              <w:rPr>
                <w:rFonts w:hint="eastAsia" w:ascii="宋体" w:hAnsi="宋体" w:eastAsia="宋体" w:cs="宋体"/>
                <w:sz w:val="18"/>
                <w:szCs w:val="18"/>
              </w:rPr>
              <w:t>1、投标人同时具有GB/T19001-2016 idt ISO9001:2015质量管理体系认证证书、GB/T24001-2016 idt ISO14001:2015环境管理体系认证证书、及GB/T45001-2020 idt ISO45001:2018职业健康安全管理体系认证证书，认证范围覆盖：安全技术防范系统的施工、维修的，得2分；</w:t>
            </w:r>
          </w:p>
          <w:p>
            <w:pPr>
              <w:spacing w:line="360" w:lineRule="auto"/>
              <w:ind w:firstLine="0" w:firstLineChars="0"/>
              <w:jc w:val="left"/>
              <w:rPr>
                <w:rFonts w:ascii="宋体" w:hAnsi="宋体" w:eastAsia="宋体" w:cs="宋体"/>
                <w:sz w:val="18"/>
                <w:szCs w:val="18"/>
              </w:rPr>
            </w:pPr>
            <w:r>
              <w:rPr>
                <w:rFonts w:hint="eastAsia" w:ascii="宋体" w:hAnsi="宋体" w:eastAsia="宋体" w:cs="宋体"/>
                <w:sz w:val="18"/>
                <w:szCs w:val="18"/>
              </w:rPr>
              <w:t>2、投标人具有ITSS信息技术服务标准符合性证书，得1分；</w:t>
            </w:r>
          </w:p>
          <w:p>
            <w:pPr>
              <w:spacing w:line="360" w:lineRule="auto"/>
              <w:ind w:firstLine="0" w:firstLineChars="0"/>
              <w:jc w:val="left"/>
              <w:rPr>
                <w:rFonts w:ascii="宋体" w:hAnsi="宋体" w:eastAsia="宋体" w:cs="宋体"/>
                <w:sz w:val="18"/>
                <w:szCs w:val="18"/>
              </w:rPr>
            </w:pPr>
            <w:r>
              <w:rPr>
                <w:rFonts w:hint="eastAsia" w:ascii="宋体" w:hAnsi="宋体" w:eastAsia="宋体" w:cs="宋体"/>
                <w:sz w:val="18"/>
                <w:szCs w:val="18"/>
              </w:rPr>
              <w:t>3、投标人具有安全技术防范系统设计、施工、维修资格肆级证书及以上的，得1分；</w:t>
            </w:r>
          </w:p>
          <w:p>
            <w:pPr>
              <w:spacing w:line="360" w:lineRule="auto"/>
              <w:ind w:firstLine="0" w:firstLineChars="0"/>
              <w:jc w:val="left"/>
              <w:rPr>
                <w:rFonts w:ascii="宋体" w:hAnsi="宋体" w:eastAsia="宋体" w:cs="宋体"/>
                <w:b/>
                <w:bCs/>
                <w:sz w:val="18"/>
                <w:szCs w:val="18"/>
              </w:rPr>
            </w:pPr>
            <w:r>
              <w:rPr>
                <w:rFonts w:hint="eastAsia" w:ascii="宋体" w:hAnsi="宋体" w:eastAsia="宋体" w:cs="宋体"/>
                <w:b/>
                <w:bCs/>
                <w:sz w:val="18"/>
                <w:szCs w:val="18"/>
              </w:rPr>
              <w:t>（二）评分依据：</w:t>
            </w:r>
          </w:p>
          <w:p>
            <w:pPr>
              <w:spacing w:line="360" w:lineRule="auto"/>
              <w:ind w:firstLine="0" w:firstLineChars="0"/>
              <w:jc w:val="left"/>
              <w:rPr>
                <w:rFonts w:ascii="宋体" w:hAnsi="宋体" w:eastAsia="宋体" w:cs="宋体"/>
                <w:sz w:val="18"/>
                <w:szCs w:val="18"/>
              </w:rPr>
            </w:pPr>
            <w:r>
              <w:rPr>
                <w:rFonts w:hint="eastAsia" w:ascii="宋体" w:hAnsi="宋体" w:eastAsia="宋体" w:cs="宋体"/>
                <w:sz w:val="18"/>
                <w:szCs w:val="18"/>
              </w:rPr>
              <w:t>1.要求提供有效的认证证书作为得分依据。</w:t>
            </w:r>
          </w:p>
          <w:p>
            <w:pPr>
              <w:spacing w:line="360" w:lineRule="auto"/>
              <w:ind w:firstLine="0" w:firstLineChars="0"/>
              <w:jc w:val="left"/>
              <w:rPr>
                <w:rFonts w:ascii="宋体" w:hAnsi="宋体" w:eastAsia="宋体" w:cs="宋体"/>
                <w:sz w:val="18"/>
                <w:szCs w:val="18"/>
              </w:rPr>
            </w:pPr>
            <w:r>
              <w:rPr>
                <w:rFonts w:hint="eastAsia" w:ascii="宋体" w:hAnsi="宋体" w:eastAsia="宋体" w:cs="宋体"/>
                <w:sz w:val="18"/>
                <w:szCs w:val="18"/>
              </w:rPr>
              <w:t>2.以上资料均要求提供扫描件（或官方网站截图）盖章，原件备查。评分中出现未按要求提供证明资料或专家无法凭所提供资料判断是否得分的情况，一律作不得分处理。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691" w:type="dxa"/>
            <w:vMerge w:val="continue"/>
            <w:tcBorders>
              <w:left w:val="single" w:color="auto" w:sz="4" w:space="0"/>
              <w:right w:val="single" w:color="auto" w:sz="4" w:space="0"/>
            </w:tcBorders>
            <w:vAlign w:val="center"/>
          </w:tcPr>
          <w:p>
            <w:pPr>
              <w:widowControl/>
              <w:ind w:firstLine="360"/>
              <w:jc w:val="left"/>
              <w:rPr>
                <w:rFonts w:ascii="宋体" w:hAnsi="宋体" w:eastAsia="宋体" w:cs="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sz w:val="18"/>
                <w:szCs w:val="18"/>
              </w:rPr>
              <w:t>2</w:t>
            </w:r>
          </w:p>
        </w:tc>
        <w:tc>
          <w:tcPr>
            <w:tcW w:w="135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sz w:val="18"/>
                <w:szCs w:val="18"/>
              </w:rPr>
              <w:t>拟安排的项目负责人情况（仅限一人）</w:t>
            </w:r>
          </w:p>
        </w:tc>
        <w:tc>
          <w:tcPr>
            <w:tcW w:w="79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sz w:val="18"/>
                <w:szCs w:val="18"/>
              </w:rPr>
              <w:t>4</w:t>
            </w:r>
          </w:p>
        </w:tc>
        <w:tc>
          <w:tcPr>
            <w:tcW w:w="5529"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left"/>
              <w:rPr>
                <w:rFonts w:ascii="宋体" w:hAnsi="宋体" w:eastAsia="宋体" w:cs="宋体"/>
                <w:b/>
                <w:bCs/>
                <w:sz w:val="18"/>
                <w:szCs w:val="18"/>
              </w:rPr>
            </w:pPr>
            <w:r>
              <w:rPr>
                <w:rFonts w:hint="eastAsia" w:ascii="宋体" w:hAnsi="宋体" w:eastAsia="宋体" w:cs="宋体"/>
                <w:b/>
                <w:bCs/>
                <w:sz w:val="18"/>
                <w:szCs w:val="18"/>
              </w:rPr>
              <w:t>（一）评分内容：</w:t>
            </w:r>
          </w:p>
          <w:p>
            <w:pPr>
              <w:spacing w:line="360" w:lineRule="auto"/>
              <w:ind w:firstLine="0" w:firstLineChars="0"/>
              <w:jc w:val="left"/>
              <w:rPr>
                <w:rFonts w:ascii="宋体" w:hAnsi="宋体" w:eastAsia="宋体" w:cs="宋体"/>
                <w:sz w:val="18"/>
                <w:szCs w:val="18"/>
              </w:rPr>
            </w:pPr>
            <w:r>
              <w:rPr>
                <w:rFonts w:hint="eastAsia" w:ascii="宋体" w:hAnsi="宋体" w:eastAsia="宋体" w:cs="宋体"/>
                <w:sz w:val="18"/>
                <w:szCs w:val="18"/>
              </w:rPr>
              <w:t>投标人须承诺拟安排的项目负责人为本单位员工，如中标，将派该工作人员担任本项目团队总负责人，以下累计计分：</w:t>
            </w:r>
          </w:p>
          <w:p>
            <w:pPr>
              <w:numPr>
                <w:ilvl w:val="255"/>
                <w:numId w:val="0"/>
              </w:numPr>
              <w:spacing w:line="360" w:lineRule="auto"/>
              <w:rPr>
                <w:rFonts w:ascii="宋体" w:hAnsi="宋体" w:eastAsia="宋体" w:cs="宋体"/>
                <w:sz w:val="18"/>
                <w:szCs w:val="18"/>
              </w:rPr>
            </w:pPr>
            <w:r>
              <w:rPr>
                <w:rFonts w:hint="eastAsia" w:ascii="宋体" w:hAnsi="宋体" w:eastAsia="宋体" w:cs="宋体"/>
                <w:sz w:val="18"/>
                <w:szCs w:val="18"/>
              </w:rPr>
              <w:t>1、具备企业主要负责人安全生产岗位合格证书的，得2分；</w:t>
            </w:r>
          </w:p>
          <w:p>
            <w:pPr>
              <w:numPr>
                <w:ilvl w:val="255"/>
                <w:numId w:val="0"/>
              </w:numPr>
              <w:spacing w:line="360" w:lineRule="auto"/>
              <w:jc w:val="left"/>
              <w:rPr>
                <w:rFonts w:ascii="宋体" w:hAnsi="宋体" w:eastAsia="宋体" w:cs="宋体"/>
                <w:sz w:val="18"/>
                <w:szCs w:val="18"/>
              </w:rPr>
            </w:pPr>
            <w:r>
              <w:rPr>
                <w:rFonts w:hint="eastAsia" w:ascii="宋体" w:hAnsi="宋体" w:eastAsia="宋体" w:cs="宋体"/>
                <w:sz w:val="18"/>
                <w:szCs w:val="18"/>
              </w:rPr>
              <w:t>2、具备电工证书的得1分；</w:t>
            </w:r>
          </w:p>
          <w:p>
            <w:pPr>
              <w:pStyle w:val="2"/>
              <w:numPr>
                <w:ilvl w:val="255"/>
                <w:numId w:val="0"/>
              </w:numPr>
              <w:spacing w:line="360" w:lineRule="auto"/>
              <w:rPr>
                <w:sz w:val="18"/>
                <w:szCs w:val="18"/>
              </w:rPr>
            </w:pPr>
            <w:r>
              <w:rPr>
                <w:rFonts w:hint="eastAsia"/>
                <w:sz w:val="18"/>
                <w:szCs w:val="18"/>
                <w:lang w:val="en-US"/>
              </w:rPr>
              <w:t>3、</w:t>
            </w:r>
            <w:r>
              <w:rPr>
                <w:rFonts w:hint="eastAsia"/>
                <w:sz w:val="18"/>
                <w:szCs w:val="18"/>
              </w:rPr>
              <w:t>具</w:t>
            </w:r>
            <w:r>
              <w:rPr>
                <w:rFonts w:hint="eastAsia"/>
                <w:sz w:val="18"/>
                <w:szCs w:val="18"/>
                <w:lang w:val="en-US"/>
              </w:rPr>
              <w:t>备广东省安防从业人员证</w:t>
            </w:r>
            <w:r>
              <w:rPr>
                <w:rFonts w:hint="eastAsia"/>
                <w:sz w:val="18"/>
                <w:szCs w:val="18"/>
              </w:rPr>
              <w:t>书的得</w:t>
            </w:r>
            <w:r>
              <w:rPr>
                <w:rFonts w:hint="eastAsia"/>
                <w:sz w:val="18"/>
                <w:szCs w:val="18"/>
                <w:lang w:val="en-US"/>
              </w:rPr>
              <w:t>1</w:t>
            </w:r>
            <w:r>
              <w:rPr>
                <w:rFonts w:hint="eastAsia"/>
                <w:sz w:val="18"/>
                <w:szCs w:val="18"/>
              </w:rPr>
              <w:t>分；</w:t>
            </w:r>
          </w:p>
          <w:p>
            <w:pPr>
              <w:spacing w:line="360" w:lineRule="auto"/>
              <w:ind w:firstLine="0" w:firstLineChars="0"/>
              <w:jc w:val="left"/>
              <w:rPr>
                <w:rFonts w:ascii="宋体" w:hAnsi="宋体" w:eastAsia="宋体" w:cs="宋体"/>
                <w:b/>
                <w:bCs/>
                <w:sz w:val="18"/>
                <w:szCs w:val="18"/>
              </w:rPr>
            </w:pPr>
            <w:r>
              <w:rPr>
                <w:rFonts w:hint="eastAsia" w:ascii="宋体" w:hAnsi="宋体" w:eastAsia="宋体" w:cs="宋体"/>
                <w:b/>
                <w:bCs/>
                <w:sz w:val="18"/>
                <w:szCs w:val="18"/>
              </w:rPr>
              <w:t>（二）评分依据：</w:t>
            </w:r>
          </w:p>
          <w:p>
            <w:pPr>
              <w:widowControl/>
              <w:spacing w:line="360" w:lineRule="auto"/>
              <w:ind w:firstLine="0" w:firstLineChars="0"/>
              <w:jc w:val="left"/>
              <w:rPr>
                <w:rFonts w:ascii="宋体" w:hAnsi="宋体" w:eastAsia="宋体" w:cs="宋体"/>
                <w:kern w:val="0"/>
                <w:sz w:val="18"/>
                <w:szCs w:val="18"/>
              </w:rPr>
            </w:pPr>
            <w:r>
              <w:rPr>
                <w:rFonts w:hint="eastAsia" w:ascii="宋体" w:hAnsi="宋体" w:eastAsia="宋体" w:cs="宋体"/>
                <w:sz w:val="18"/>
                <w:szCs w:val="18"/>
              </w:rPr>
              <w:t>1.</w:t>
            </w:r>
            <w:r>
              <w:rPr>
                <w:rFonts w:hint="eastAsia" w:ascii="宋体" w:hAnsi="宋体" w:eastAsia="宋体" w:cs="宋体"/>
                <w:kern w:val="0"/>
                <w:sz w:val="18"/>
                <w:szCs w:val="18"/>
              </w:rPr>
              <w:t>提供通过投标人缴纳的近一个月的社保证明作为本单位员工的证明依据。</w:t>
            </w:r>
          </w:p>
          <w:p>
            <w:pPr>
              <w:widowControl/>
              <w:spacing w:line="360" w:lineRule="auto"/>
              <w:ind w:firstLine="0" w:firstLineChars="0"/>
              <w:jc w:val="left"/>
              <w:rPr>
                <w:rFonts w:ascii="宋体" w:hAnsi="宋体" w:eastAsia="宋体" w:cs="宋体"/>
                <w:sz w:val="18"/>
                <w:szCs w:val="18"/>
              </w:rPr>
            </w:pPr>
            <w:r>
              <w:rPr>
                <w:rFonts w:hint="eastAsia" w:ascii="宋体" w:hAnsi="宋体" w:eastAsia="宋体" w:cs="宋体"/>
                <w:sz w:val="18"/>
                <w:szCs w:val="18"/>
              </w:rPr>
              <w:t>2. 要求提供投标人相关证明资料作为得分依据。</w:t>
            </w:r>
          </w:p>
          <w:p>
            <w:pPr>
              <w:spacing w:line="360" w:lineRule="auto"/>
              <w:ind w:firstLine="0" w:firstLineChars="0"/>
              <w:jc w:val="left"/>
              <w:rPr>
                <w:rFonts w:ascii="宋体" w:hAnsi="宋体" w:eastAsia="宋体" w:cs="宋体"/>
                <w:sz w:val="18"/>
                <w:szCs w:val="18"/>
              </w:rPr>
            </w:pPr>
            <w:r>
              <w:rPr>
                <w:rFonts w:hint="eastAsia" w:ascii="宋体" w:hAnsi="宋体" w:eastAsia="宋体" w:cs="宋体"/>
                <w:sz w:val="18"/>
                <w:szCs w:val="18"/>
              </w:rPr>
              <w:t>3. 以上资料均要求提供扫描件盖章，原件备查。评分中出现未按要求提供证明资料或专家无法凭所提供资料判断是否得分的情况，一律作不得分处理。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691" w:type="dxa"/>
            <w:vMerge w:val="continue"/>
            <w:tcBorders>
              <w:left w:val="single" w:color="auto" w:sz="4" w:space="0"/>
              <w:right w:val="single" w:color="auto" w:sz="4" w:space="0"/>
            </w:tcBorders>
            <w:vAlign w:val="center"/>
          </w:tcPr>
          <w:p>
            <w:pPr>
              <w:widowControl/>
              <w:ind w:firstLine="360"/>
              <w:jc w:val="left"/>
              <w:rPr>
                <w:rFonts w:ascii="宋体" w:hAnsi="宋体" w:eastAsia="宋体" w:cs="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sz w:val="18"/>
                <w:szCs w:val="18"/>
              </w:rPr>
              <w:t>3</w:t>
            </w:r>
          </w:p>
        </w:tc>
        <w:tc>
          <w:tcPr>
            <w:tcW w:w="135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sz w:val="18"/>
                <w:szCs w:val="18"/>
              </w:rPr>
              <w:t>拟安排的项目主要团队成员（主要技术人员）情况（项目负责人除外）</w:t>
            </w:r>
          </w:p>
        </w:tc>
        <w:tc>
          <w:tcPr>
            <w:tcW w:w="79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sz w:val="18"/>
                <w:szCs w:val="18"/>
              </w:rPr>
              <w:t>10</w:t>
            </w:r>
          </w:p>
        </w:tc>
        <w:tc>
          <w:tcPr>
            <w:tcW w:w="5529" w:type="dxa"/>
            <w:tcBorders>
              <w:top w:val="single" w:color="auto" w:sz="4" w:space="0"/>
              <w:left w:val="single" w:color="auto" w:sz="4" w:space="0"/>
              <w:bottom w:val="single" w:color="auto" w:sz="4" w:space="0"/>
              <w:right w:val="single" w:color="auto" w:sz="4" w:space="0"/>
            </w:tcBorders>
          </w:tcPr>
          <w:p>
            <w:pPr>
              <w:numPr>
                <w:ilvl w:val="255"/>
                <w:numId w:val="0"/>
              </w:numPr>
              <w:spacing w:line="360" w:lineRule="auto"/>
              <w:jc w:val="left"/>
              <w:rPr>
                <w:rFonts w:ascii="宋体" w:hAnsi="宋体" w:eastAsia="宋体" w:cs="宋体"/>
                <w:b/>
                <w:bCs/>
                <w:sz w:val="18"/>
                <w:szCs w:val="18"/>
              </w:rPr>
            </w:pPr>
            <w:r>
              <w:rPr>
                <w:rFonts w:hint="eastAsia" w:ascii="宋体" w:hAnsi="宋体" w:eastAsia="宋体" w:cs="宋体"/>
                <w:b/>
                <w:bCs/>
                <w:sz w:val="18"/>
                <w:szCs w:val="18"/>
              </w:rPr>
              <w:t>（一）评分内容：</w:t>
            </w:r>
          </w:p>
          <w:p>
            <w:pPr>
              <w:ind w:firstLine="0" w:firstLineChars="0"/>
              <w:jc w:val="left"/>
              <w:rPr>
                <w:rFonts w:ascii="宋体" w:hAnsi="宋体" w:eastAsia="宋体" w:cs="宋体"/>
                <w:sz w:val="18"/>
                <w:szCs w:val="18"/>
              </w:rPr>
            </w:pPr>
            <w:r>
              <w:rPr>
                <w:rFonts w:hint="eastAsia" w:ascii="宋体" w:hAnsi="宋体" w:eastAsia="宋体" w:cs="宋体"/>
                <w:sz w:val="18"/>
                <w:szCs w:val="18"/>
              </w:rPr>
              <w:t>投标人须承诺拟安排服务团队成员须为投标单位员工且不少于14人，如中标，将安排至本项目提供服务，否则此项不予计分（承诺函格式自拟）。在此基础上，以下累计计分，项目主要服务团队成员（项目负责人除外），具备以下条件：</w:t>
            </w:r>
          </w:p>
          <w:p>
            <w:pPr>
              <w:spacing w:line="360" w:lineRule="auto"/>
              <w:ind w:firstLine="0" w:firstLineChars="0"/>
              <w:jc w:val="left"/>
              <w:rPr>
                <w:rFonts w:ascii="宋体" w:hAnsi="宋体" w:eastAsia="宋体" w:cs="宋体"/>
                <w:sz w:val="18"/>
                <w:szCs w:val="18"/>
              </w:rPr>
            </w:pPr>
            <w:r>
              <w:rPr>
                <w:rFonts w:hint="eastAsia" w:ascii="宋体" w:hAnsi="宋体" w:eastAsia="宋体" w:cs="宋体"/>
                <w:sz w:val="18"/>
                <w:szCs w:val="18"/>
              </w:rPr>
              <w:t>1、配备技术人员具有中级及以上的网络工程师证书的，每提供1名得1分，最高等1分；</w:t>
            </w:r>
          </w:p>
          <w:p>
            <w:pPr>
              <w:spacing w:line="360" w:lineRule="auto"/>
              <w:ind w:firstLine="0" w:firstLineChars="0"/>
              <w:jc w:val="left"/>
              <w:rPr>
                <w:rFonts w:ascii="宋体" w:hAnsi="宋体" w:eastAsia="宋体" w:cs="宋体"/>
                <w:sz w:val="18"/>
                <w:szCs w:val="18"/>
              </w:rPr>
            </w:pPr>
            <w:r>
              <w:rPr>
                <w:rFonts w:hint="eastAsia" w:ascii="宋体" w:hAnsi="宋体" w:eastAsia="宋体" w:cs="宋体"/>
                <w:sz w:val="18"/>
                <w:szCs w:val="18"/>
              </w:rPr>
              <w:t>2、配备技术人员具备电工证书的，每提供1名得1分，最高得3分；</w:t>
            </w:r>
          </w:p>
          <w:p>
            <w:pPr>
              <w:spacing w:line="360" w:lineRule="auto"/>
              <w:ind w:firstLine="0" w:firstLineChars="0"/>
              <w:jc w:val="left"/>
              <w:rPr>
                <w:rFonts w:ascii="宋体" w:hAnsi="宋体" w:eastAsia="宋体" w:cs="宋体"/>
                <w:sz w:val="18"/>
                <w:szCs w:val="18"/>
              </w:rPr>
            </w:pPr>
            <w:r>
              <w:rPr>
                <w:rFonts w:hint="eastAsia" w:ascii="宋体" w:hAnsi="宋体" w:eastAsia="宋体" w:cs="宋体"/>
                <w:sz w:val="18"/>
                <w:szCs w:val="18"/>
              </w:rPr>
              <w:t>3、配备技术人员具有电焊证书的，每提供1名得0.6分，最高等3分；</w:t>
            </w:r>
          </w:p>
          <w:p>
            <w:pPr>
              <w:spacing w:line="360" w:lineRule="auto"/>
              <w:ind w:firstLine="0" w:firstLineChars="0"/>
              <w:jc w:val="left"/>
              <w:rPr>
                <w:rFonts w:ascii="宋体" w:hAnsi="宋体" w:eastAsia="宋体" w:cs="宋体"/>
                <w:sz w:val="18"/>
                <w:szCs w:val="18"/>
              </w:rPr>
            </w:pPr>
            <w:r>
              <w:rPr>
                <w:rFonts w:hint="eastAsia" w:ascii="宋体" w:hAnsi="宋体" w:eastAsia="宋体" w:cs="宋体"/>
                <w:sz w:val="18"/>
                <w:szCs w:val="18"/>
              </w:rPr>
              <w:t>4、配备技术人员具有广东省安防从业人员证书的，每提供1名得0.6分，最高等3分；</w:t>
            </w:r>
          </w:p>
          <w:p>
            <w:pPr>
              <w:spacing w:line="360" w:lineRule="auto"/>
              <w:ind w:firstLine="0" w:firstLineChars="0"/>
              <w:jc w:val="left"/>
              <w:rPr>
                <w:rFonts w:ascii="宋体" w:hAnsi="宋体" w:eastAsia="宋体" w:cs="宋体"/>
                <w:sz w:val="18"/>
                <w:szCs w:val="18"/>
              </w:rPr>
            </w:pPr>
            <w:r>
              <w:rPr>
                <w:rFonts w:hint="eastAsia" w:ascii="宋体" w:hAnsi="宋体" w:eastAsia="宋体" w:cs="宋体"/>
                <w:sz w:val="18"/>
                <w:szCs w:val="18"/>
              </w:rPr>
              <w:t>以上人员同一人具备多证只能算一人得分。</w:t>
            </w:r>
          </w:p>
          <w:p>
            <w:pPr>
              <w:widowControl/>
              <w:spacing w:line="360" w:lineRule="auto"/>
              <w:ind w:firstLine="0" w:firstLineChars="0"/>
              <w:jc w:val="left"/>
              <w:rPr>
                <w:rFonts w:ascii="宋体" w:hAnsi="宋体" w:eastAsia="宋体" w:cs="宋体"/>
                <w:b/>
                <w:bCs/>
                <w:sz w:val="18"/>
                <w:szCs w:val="18"/>
              </w:rPr>
            </w:pPr>
            <w:r>
              <w:rPr>
                <w:rFonts w:hint="eastAsia" w:ascii="宋体" w:hAnsi="宋体" w:eastAsia="宋体" w:cs="宋体"/>
                <w:b/>
                <w:bCs/>
                <w:sz w:val="18"/>
                <w:szCs w:val="18"/>
              </w:rPr>
              <w:t>（二）评分依据：</w:t>
            </w:r>
          </w:p>
          <w:p>
            <w:pPr>
              <w:widowControl/>
              <w:spacing w:line="360" w:lineRule="auto"/>
              <w:ind w:firstLine="0" w:firstLineChars="0"/>
              <w:jc w:val="left"/>
              <w:rPr>
                <w:rFonts w:ascii="宋体" w:hAnsi="宋体" w:eastAsia="宋体" w:cs="宋体"/>
                <w:kern w:val="0"/>
                <w:sz w:val="18"/>
                <w:szCs w:val="18"/>
              </w:rPr>
            </w:pPr>
            <w:r>
              <w:rPr>
                <w:rFonts w:hint="eastAsia" w:ascii="宋体" w:hAnsi="宋体" w:eastAsia="宋体" w:cs="宋体"/>
                <w:sz w:val="18"/>
                <w:szCs w:val="18"/>
              </w:rPr>
              <w:t>1.</w:t>
            </w:r>
            <w:r>
              <w:rPr>
                <w:rFonts w:hint="eastAsia" w:ascii="宋体" w:hAnsi="宋体" w:eastAsia="宋体" w:cs="宋体"/>
                <w:kern w:val="0"/>
                <w:sz w:val="18"/>
                <w:szCs w:val="18"/>
              </w:rPr>
              <w:t>提供通过投标人缴纳的近一个月的社保证明作为本单位员工的证明依据。</w:t>
            </w:r>
          </w:p>
          <w:p>
            <w:pPr>
              <w:widowControl/>
              <w:spacing w:line="360" w:lineRule="auto"/>
              <w:ind w:firstLine="0" w:firstLineChars="0"/>
              <w:jc w:val="left"/>
              <w:rPr>
                <w:rFonts w:ascii="宋体" w:hAnsi="宋体" w:eastAsia="宋体" w:cs="宋体"/>
                <w:sz w:val="18"/>
                <w:szCs w:val="18"/>
              </w:rPr>
            </w:pPr>
            <w:r>
              <w:rPr>
                <w:rFonts w:hint="eastAsia" w:ascii="宋体" w:hAnsi="宋体" w:eastAsia="宋体" w:cs="宋体"/>
                <w:sz w:val="18"/>
                <w:szCs w:val="18"/>
              </w:rPr>
              <w:t>2. 要求提供投标人相关证明资料作为得分依据。</w:t>
            </w:r>
          </w:p>
          <w:p>
            <w:pPr>
              <w:widowControl/>
              <w:spacing w:line="360" w:lineRule="auto"/>
              <w:ind w:firstLine="0" w:firstLineChars="0"/>
              <w:jc w:val="left"/>
              <w:rPr>
                <w:rFonts w:ascii="宋体" w:hAnsi="宋体" w:eastAsia="宋体" w:cs="宋体"/>
                <w:sz w:val="18"/>
                <w:szCs w:val="18"/>
              </w:rPr>
            </w:pPr>
            <w:r>
              <w:rPr>
                <w:rFonts w:hint="eastAsia" w:ascii="宋体" w:hAnsi="宋体" w:eastAsia="宋体" w:cs="宋体"/>
                <w:sz w:val="18"/>
                <w:szCs w:val="18"/>
              </w:rPr>
              <w:t>3. 以上资料均要求提供扫描件盖章，原件备查。评分中出现未按要求提供证明资料或专家无法凭所提供资料判断是否得分的情况，一律作不得分处理。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691" w:type="dxa"/>
            <w:vMerge w:val="continue"/>
            <w:tcBorders>
              <w:left w:val="single" w:color="auto" w:sz="4" w:space="0"/>
              <w:right w:val="single" w:color="auto" w:sz="4" w:space="0"/>
            </w:tcBorders>
            <w:vAlign w:val="center"/>
          </w:tcPr>
          <w:p>
            <w:pPr>
              <w:widowControl/>
              <w:ind w:firstLine="360"/>
              <w:jc w:val="left"/>
              <w:rPr>
                <w:rFonts w:ascii="宋体" w:hAnsi="宋体" w:eastAsia="宋体" w:cs="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sz w:val="18"/>
                <w:szCs w:val="18"/>
              </w:rPr>
              <w:t>4</w:t>
            </w:r>
          </w:p>
        </w:tc>
        <w:tc>
          <w:tcPr>
            <w:tcW w:w="135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sz w:val="18"/>
                <w:szCs w:val="18"/>
              </w:rPr>
              <w:t>投标人自主知识产权产品（创新、设计）情况</w:t>
            </w:r>
          </w:p>
        </w:tc>
        <w:tc>
          <w:tcPr>
            <w:tcW w:w="79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sz w:val="18"/>
                <w:szCs w:val="18"/>
              </w:rPr>
              <w:t>10</w:t>
            </w:r>
          </w:p>
        </w:tc>
        <w:tc>
          <w:tcPr>
            <w:tcW w:w="5529"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left"/>
              <w:rPr>
                <w:rFonts w:ascii="宋体" w:hAnsi="宋体" w:eastAsia="宋体" w:cs="宋体"/>
                <w:b/>
                <w:bCs/>
                <w:sz w:val="18"/>
                <w:szCs w:val="18"/>
              </w:rPr>
            </w:pPr>
            <w:r>
              <w:rPr>
                <w:rFonts w:hint="eastAsia" w:ascii="宋体" w:hAnsi="宋体" w:eastAsia="宋体" w:cs="宋体"/>
                <w:b/>
                <w:bCs/>
                <w:sz w:val="18"/>
                <w:szCs w:val="18"/>
              </w:rPr>
              <w:t>（一）评分内容：</w:t>
            </w:r>
          </w:p>
          <w:p>
            <w:pPr>
              <w:spacing w:line="360" w:lineRule="auto"/>
              <w:ind w:firstLine="0" w:firstLineChars="0"/>
              <w:jc w:val="left"/>
              <w:rPr>
                <w:rFonts w:ascii="宋体" w:hAnsi="宋体" w:eastAsia="宋体" w:cs="宋体"/>
                <w:sz w:val="18"/>
                <w:szCs w:val="18"/>
              </w:rPr>
            </w:pPr>
            <w:r>
              <w:rPr>
                <w:rFonts w:hint="eastAsia" w:ascii="宋体" w:hAnsi="宋体" w:eastAsia="宋体" w:cs="宋体"/>
                <w:sz w:val="18"/>
                <w:szCs w:val="18"/>
              </w:rPr>
              <w:t>1、投标人具有智能电气火灾预警装置实用新型专利证书，得2.5分；</w:t>
            </w:r>
          </w:p>
          <w:p>
            <w:pPr>
              <w:spacing w:line="360" w:lineRule="auto"/>
              <w:ind w:firstLine="0" w:firstLineChars="0"/>
              <w:jc w:val="left"/>
              <w:rPr>
                <w:rFonts w:ascii="宋体" w:hAnsi="宋体" w:eastAsia="宋体" w:cs="宋体"/>
                <w:sz w:val="18"/>
                <w:szCs w:val="18"/>
              </w:rPr>
            </w:pPr>
            <w:r>
              <w:rPr>
                <w:rFonts w:hint="eastAsia" w:ascii="宋体" w:hAnsi="宋体" w:eastAsia="宋体" w:cs="宋体"/>
                <w:sz w:val="18"/>
                <w:szCs w:val="18"/>
              </w:rPr>
              <w:t>2、投标人具有可拆卸式安防监控设备实用新型专利证书，得2.5分；</w:t>
            </w:r>
          </w:p>
          <w:p>
            <w:pPr>
              <w:spacing w:line="360" w:lineRule="auto"/>
              <w:ind w:firstLine="0" w:firstLineChars="0"/>
              <w:jc w:val="left"/>
              <w:rPr>
                <w:rFonts w:ascii="宋体" w:hAnsi="宋体" w:eastAsia="宋体" w:cs="宋体"/>
                <w:sz w:val="18"/>
                <w:szCs w:val="18"/>
              </w:rPr>
            </w:pPr>
            <w:r>
              <w:rPr>
                <w:rFonts w:hint="eastAsia" w:ascii="宋体" w:hAnsi="宋体" w:eastAsia="宋体" w:cs="宋体"/>
                <w:sz w:val="18"/>
                <w:szCs w:val="18"/>
              </w:rPr>
              <w:t>3、投标人具有智能联网报警系统计算机软件著作权证书，得2.5分；</w:t>
            </w:r>
          </w:p>
          <w:p>
            <w:pPr>
              <w:spacing w:line="360" w:lineRule="auto"/>
              <w:ind w:firstLine="0" w:firstLineChars="0"/>
              <w:jc w:val="left"/>
              <w:rPr>
                <w:rFonts w:ascii="宋体" w:hAnsi="宋体" w:eastAsia="宋体" w:cs="宋体"/>
                <w:sz w:val="18"/>
                <w:szCs w:val="18"/>
              </w:rPr>
            </w:pPr>
            <w:r>
              <w:rPr>
                <w:rFonts w:hint="eastAsia" w:ascii="宋体" w:hAnsi="宋体" w:eastAsia="宋体" w:cs="宋体"/>
                <w:sz w:val="18"/>
                <w:szCs w:val="18"/>
              </w:rPr>
              <w:t>4、投标人具有联网报警中心管理软件，计算机软件著作权证书，得2.5分；</w:t>
            </w:r>
          </w:p>
          <w:p>
            <w:pPr>
              <w:spacing w:line="360" w:lineRule="auto"/>
              <w:ind w:firstLine="0" w:firstLineChars="0"/>
              <w:jc w:val="left"/>
              <w:rPr>
                <w:rFonts w:ascii="宋体" w:hAnsi="宋体" w:eastAsia="宋体" w:cs="宋体"/>
                <w:b/>
                <w:bCs/>
                <w:sz w:val="18"/>
                <w:szCs w:val="18"/>
              </w:rPr>
            </w:pPr>
            <w:r>
              <w:rPr>
                <w:rFonts w:hint="eastAsia" w:ascii="宋体" w:hAnsi="宋体" w:eastAsia="宋体" w:cs="宋体"/>
                <w:b/>
                <w:bCs/>
                <w:sz w:val="18"/>
                <w:szCs w:val="18"/>
              </w:rPr>
              <w:t>（二）评分依据:</w:t>
            </w:r>
          </w:p>
          <w:p>
            <w:pPr>
              <w:spacing w:line="360" w:lineRule="auto"/>
              <w:ind w:firstLine="0" w:firstLineChars="0"/>
              <w:jc w:val="left"/>
              <w:rPr>
                <w:rFonts w:ascii="宋体" w:hAnsi="宋体" w:eastAsia="宋体" w:cs="宋体"/>
                <w:sz w:val="18"/>
                <w:szCs w:val="18"/>
              </w:rPr>
            </w:pPr>
            <w:r>
              <w:rPr>
                <w:rFonts w:hint="eastAsia" w:ascii="宋体" w:hAnsi="宋体" w:eastAsia="宋体" w:cs="宋体"/>
                <w:sz w:val="18"/>
                <w:szCs w:val="18"/>
              </w:rPr>
              <w:t>1.要求提供有效的产权（专利）证书等证明材料作为得分依据。</w:t>
            </w:r>
          </w:p>
          <w:p>
            <w:pPr>
              <w:spacing w:line="360" w:lineRule="auto"/>
              <w:ind w:firstLine="0" w:firstLineChars="0"/>
              <w:jc w:val="left"/>
              <w:rPr>
                <w:rFonts w:ascii="宋体" w:hAnsi="宋体" w:eastAsia="宋体" w:cs="宋体"/>
                <w:sz w:val="18"/>
                <w:szCs w:val="18"/>
              </w:rPr>
            </w:pPr>
            <w:r>
              <w:rPr>
                <w:rFonts w:hint="eastAsia" w:ascii="宋体" w:hAnsi="宋体" w:eastAsia="宋体" w:cs="宋体"/>
                <w:sz w:val="18"/>
                <w:szCs w:val="18"/>
              </w:rPr>
              <w:t>2.以上资料均要求提供扫描件（或官方网站截图）盖章，原件备查。评分中出现未按要求提供证明资料或专家无法凭所提供资料判断是否得分的情况，一律作不得分处理。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691" w:type="dxa"/>
            <w:vMerge w:val="continue"/>
            <w:tcBorders>
              <w:left w:val="single" w:color="auto" w:sz="4" w:space="0"/>
              <w:right w:val="single" w:color="auto" w:sz="4" w:space="0"/>
            </w:tcBorders>
            <w:vAlign w:val="center"/>
          </w:tcPr>
          <w:p>
            <w:pPr>
              <w:widowControl/>
              <w:ind w:firstLine="360"/>
              <w:jc w:val="left"/>
              <w:rPr>
                <w:rFonts w:ascii="宋体" w:hAnsi="宋体" w:eastAsia="宋体" w:cs="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sz w:val="18"/>
                <w:szCs w:val="18"/>
              </w:rPr>
              <w:t>5</w:t>
            </w:r>
          </w:p>
        </w:tc>
        <w:tc>
          <w:tcPr>
            <w:tcW w:w="135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sz w:val="18"/>
                <w:szCs w:val="18"/>
              </w:rPr>
              <w:t>项目拟使用的车辆情况</w:t>
            </w:r>
          </w:p>
        </w:tc>
        <w:tc>
          <w:tcPr>
            <w:tcW w:w="79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sz w:val="18"/>
                <w:szCs w:val="18"/>
              </w:rPr>
              <w:t>2</w:t>
            </w:r>
          </w:p>
        </w:tc>
        <w:tc>
          <w:tcPr>
            <w:tcW w:w="5529"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left"/>
              <w:rPr>
                <w:rFonts w:ascii="宋体" w:hAnsi="宋体" w:eastAsia="宋体" w:cs="宋体"/>
                <w:b/>
                <w:bCs/>
                <w:sz w:val="18"/>
                <w:szCs w:val="18"/>
              </w:rPr>
            </w:pPr>
            <w:r>
              <w:rPr>
                <w:rFonts w:hint="eastAsia" w:ascii="宋体" w:hAnsi="宋体" w:eastAsia="宋体" w:cs="宋体"/>
                <w:b/>
                <w:bCs/>
                <w:sz w:val="18"/>
                <w:szCs w:val="18"/>
              </w:rPr>
              <w:t>（一）评分内容：</w:t>
            </w:r>
          </w:p>
          <w:p>
            <w:pPr>
              <w:spacing w:line="360" w:lineRule="auto"/>
              <w:ind w:firstLine="0" w:firstLineChars="0"/>
              <w:jc w:val="left"/>
              <w:rPr>
                <w:rFonts w:ascii="宋体" w:hAnsi="宋体" w:eastAsia="宋体" w:cs="宋体"/>
                <w:sz w:val="18"/>
                <w:szCs w:val="18"/>
              </w:rPr>
            </w:pPr>
            <w:r>
              <w:rPr>
                <w:rFonts w:hint="eastAsia" w:ascii="宋体" w:hAnsi="宋体" w:eastAsia="宋体" w:cs="宋体"/>
                <w:sz w:val="18"/>
                <w:szCs w:val="18"/>
              </w:rPr>
              <w:t>根据服务需要投标人提供应急故障抢修使用车辆情况进行打分：</w:t>
            </w:r>
          </w:p>
          <w:p>
            <w:pPr>
              <w:spacing w:line="360" w:lineRule="auto"/>
              <w:ind w:firstLine="0" w:firstLineChars="0"/>
              <w:jc w:val="left"/>
              <w:rPr>
                <w:rFonts w:ascii="宋体" w:hAnsi="宋体" w:eastAsia="宋体" w:cs="宋体"/>
                <w:sz w:val="18"/>
                <w:szCs w:val="18"/>
              </w:rPr>
            </w:pPr>
            <w:r>
              <w:rPr>
                <w:rFonts w:hint="eastAsia" w:ascii="宋体" w:hAnsi="宋体" w:eastAsia="宋体" w:cs="宋体"/>
                <w:sz w:val="18"/>
                <w:szCs w:val="18"/>
              </w:rPr>
              <w:t>投标人拟提供本项目使用的车辆，自有或租赁粤B牌照车辆，提供2辆及以上的得2分，少于2辆或未提供的，均不得分。</w:t>
            </w:r>
            <w:r>
              <w:rPr>
                <w:rFonts w:hint="eastAsia" w:ascii="宋体" w:hAnsi="宋体" w:eastAsia="宋体" w:cs="宋体"/>
                <w:b/>
                <w:bCs/>
                <w:sz w:val="18"/>
                <w:szCs w:val="18"/>
              </w:rPr>
              <w:t>（二）评分依据:</w:t>
            </w:r>
          </w:p>
          <w:p>
            <w:pPr>
              <w:spacing w:line="360" w:lineRule="auto"/>
              <w:ind w:firstLine="0" w:firstLineChars="0"/>
              <w:jc w:val="left"/>
              <w:rPr>
                <w:rFonts w:ascii="宋体" w:hAnsi="宋体" w:eastAsia="宋体" w:cs="宋体"/>
                <w:sz w:val="18"/>
                <w:szCs w:val="18"/>
              </w:rPr>
            </w:pPr>
            <w:r>
              <w:rPr>
                <w:rFonts w:hint="eastAsia" w:ascii="宋体" w:hAnsi="宋体" w:eastAsia="宋体" w:cs="宋体"/>
                <w:sz w:val="18"/>
                <w:szCs w:val="18"/>
              </w:rPr>
              <w:t>提供投标人名下注册的车辆行驶证或租赁合同等证明材料扫描件盖章，原件备查。如未按要求提供证明材料，或所提供的证明材料未能体现上述评分内容的，视为证明材料无效，一律作不得分处理。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691" w:type="dxa"/>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ascii="宋体" w:hAnsi="宋体" w:eastAsia="宋体" w:cs="宋体"/>
                <w:b/>
                <w:bCs/>
                <w:sz w:val="18"/>
                <w:szCs w:val="18"/>
              </w:rPr>
            </w:pPr>
            <w:r>
              <w:rPr>
                <w:rFonts w:hint="eastAsia" w:ascii="宋体" w:hAnsi="宋体" w:eastAsia="宋体" w:cs="宋体"/>
                <w:b/>
                <w:bCs/>
                <w:sz w:val="18"/>
                <w:szCs w:val="18"/>
              </w:rPr>
              <w:t>4</w:t>
            </w:r>
          </w:p>
        </w:tc>
        <w:tc>
          <w:tcPr>
            <w:tcW w:w="2819" w:type="dxa"/>
            <w:gridSpan w:val="3"/>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ascii="宋体" w:hAnsi="宋体" w:eastAsia="宋体" w:cs="宋体"/>
                <w:b/>
                <w:bCs/>
                <w:sz w:val="18"/>
                <w:szCs w:val="18"/>
              </w:rPr>
            </w:pPr>
            <w:r>
              <w:rPr>
                <w:rFonts w:hint="eastAsia" w:ascii="宋体" w:hAnsi="宋体" w:eastAsia="宋体" w:cs="宋体"/>
                <w:b/>
                <w:bCs/>
                <w:sz w:val="18"/>
                <w:szCs w:val="18"/>
              </w:rPr>
              <w:t>诚信情况</w:t>
            </w:r>
          </w:p>
        </w:tc>
        <w:tc>
          <w:tcPr>
            <w:tcW w:w="5529" w:type="dxa"/>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ascii="宋体" w:hAnsi="宋体" w:eastAsia="宋体" w:cs="宋体"/>
                <w:b/>
                <w:bCs/>
                <w:sz w:val="18"/>
                <w:szCs w:val="18"/>
              </w:rPr>
            </w:pPr>
            <w:r>
              <w:rPr>
                <w:rFonts w:hint="eastAsia" w:ascii="宋体" w:hAnsi="宋体" w:eastAsia="宋体" w:cs="宋体"/>
                <w:b/>
                <w:bCs/>
                <w:sz w:val="18"/>
                <w:szCs w:val="1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691" w:type="dxa"/>
            <w:vMerge w:val="restart"/>
            <w:tcBorders>
              <w:top w:val="single" w:color="auto" w:sz="4" w:space="0"/>
              <w:left w:val="single" w:color="auto" w:sz="4" w:space="0"/>
              <w:right w:val="single" w:color="auto" w:sz="4" w:space="0"/>
            </w:tcBorders>
          </w:tcPr>
          <w:p>
            <w:pPr>
              <w:ind w:firstLine="360"/>
              <w:jc w:val="center"/>
              <w:rPr>
                <w:rFonts w:ascii="宋体" w:hAnsi="宋体" w:eastAsia="宋体" w:cs="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宋体"/>
                <w:b/>
                <w:bCs/>
                <w:sz w:val="18"/>
                <w:szCs w:val="18"/>
              </w:rPr>
            </w:pPr>
            <w:r>
              <w:rPr>
                <w:rFonts w:hint="eastAsia" w:ascii="宋体" w:hAnsi="宋体" w:eastAsia="宋体" w:cs="宋体"/>
                <w:b/>
                <w:bCs/>
                <w:sz w:val="18"/>
                <w:szCs w:val="18"/>
              </w:rPr>
              <w:t>序号</w:t>
            </w:r>
          </w:p>
        </w:tc>
        <w:tc>
          <w:tcPr>
            <w:tcW w:w="1353"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宋体"/>
                <w:b/>
                <w:bCs/>
                <w:sz w:val="18"/>
                <w:szCs w:val="18"/>
              </w:rPr>
            </w:pPr>
            <w:r>
              <w:rPr>
                <w:rFonts w:hint="eastAsia" w:ascii="宋体" w:hAnsi="宋体" w:eastAsia="宋体" w:cs="宋体"/>
                <w:b/>
                <w:bCs/>
                <w:sz w:val="18"/>
                <w:szCs w:val="18"/>
              </w:rPr>
              <w:t>评分因素</w:t>
            </w:r>
          </w:p>
        </w:tc>
        <w:tc>
          <w:tcPr>
            <w:tcW w:w="791"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宋体"/>
                <w:b/>
                <w:bCs/>
                <w:sz w:val="18"/>
                <w:szCs w:val="18"/>
              </w:rPr>
            </w:pPr>
            <w:r>
              <w:rPr>
                <w:rFonts w:hint="eastAsia" w:ascii="宋体" w:hAnsi="宋体" w:eastAsia="宋体" w:cs="宋体"/>
                <w:b/>
                <w:bCs/>
                <w:sz w:val="18"/>
                <w:szCs w:val="18"/>
              </w:rPr>
              <w:t>权重</w:t>
            </w:r>
          </w:p>
        </w:tc>
        <w:tc>
          <w:tcPr>
            <w:tcW w:w="552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宋体"/>
                <w:b/>
                <w:bCs/>
                <w:sz w:val="18"/>
                <w:szCs w:val="18"/>
              </w:rPr>
            </w:pPr>
            <w:r>
              <w:rPr>
                <w:rFonts w:hint="eastAsia" w:ascii="宋体" w:hAnsi="宋体" w:eastAsia="宋体" w:cs="宋体"/>
                <w:b/>
                <w:bCs/>
                <w:sz w:val="18"/>
                <w:szCs w:val="18"/>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691" w:type="dxa"/>
            <w:vMerge w:val="continue"/>
            <w:tcBorders>
              <w:left w:val="single" w:color="auto" w:sz="4" w:space="0"/>
              <w:right w:val="single" w:color="auto" w:sz="4" w:space="0"/>
            </w:tcBorders>
          </w:tcPr>
          <w:p>
            <w:pPr>
              <w:ind w:firstLine="360"/>
              <w:jc w:val="center"/>
              <w:rPr>
                <w:rFonts w:ascii="宋体" w:hAnsi="宋体" w:eastAsia="宋体" w:cs="宋体"/>
                <w:sz w:val="18"/>
                <w:szCs w:val="18"/>
              </w:rPr>
            </w:pPr>
          </w:p>
        </w:tc>
        <w:tc>
          <w:tcPr>
            <w:tcW w:w="675"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sz w:val="18"/>
                <w:szCs w:val="18"/>
              </w:rPr>
              <w:t>1</w:t>
            </w:r>
          </w:p>
        </w:tc>
        <w:tc>
          <w:tcPr>
            <w:tcW w:w="135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color w:val="000000"/>
                <w:kern w:val="0"/>
                <w:sz w:val="18"/>
                <w:szCs w:val="18"/>
              </w:rPr>
              <w:t>诚信情况</w:t>
            </w:r>
          </w:p>
        </w:tc>
        <w:tc>
          <w:tcPr>
            <w:tcW w:w="791"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eastAsia="宋体" w:cs="宋体"/>
                <w:sz w:val="18"/>
                <w:szCs w:val="18"/>
              </w:rPr>
            </w:pPr>
            <w:r>
              <w:rPr>
                <w:rFonts w:hint="eastAsia" w:ascii="宋体" w:hAnsi="宋体" w:eastAsia="宋体" w:cs="宋体"/>
                <w:sz w:val="18"/>
                <w:szCs w:val="18"/>
              </w:rPr>
              <w:t>5</w:t>
            </w:r>
          </w:p>
        </w:tc>
        <w:tc>
          <w:tcPr>
            <w:tcW w:w="5529" w:type="dxa"/>
            <w:tcBorders>
              <w:top w:val="single" w:color="auto" w:sz="4" w:space="0"/>
              <w:left w:val="single" w:color="auto" w:sz="4" w:space="0"/>
              <w:bottom w:val="single" w:color="auto" w:sz="4" w:space="0"/>
              <w:right w:val="single" w:color="auto" w:sz="4" w:space="0"/>
            </w:tcBorders>
          </w:tcPr>
          <w:p>
            <w:pPr>
              <w:spacing w:line="360" w:lineRule="auto"/>
              <w:ind w:firstLine="0" w:firstLineChars="0"/>
              <w:jc w:val="left"/>
              <w:rPr>
                <w:rFonts w:ascii="宋体" w:hAnsi="宋体" w:eastAsia="宋体" w:cs="宋体"/>
                <w:sz w:val="18"/>
                <w:szCs w:val="18"/>
              </w:rPr>
            </w:pPr>
            <w:r>
              <w:rPr>
                <w:rFonts w:hint="eastAsia" w:ascii="宋体" w:hAnsi="宋体" w:eastAsia="宋体" w:cs="宋体"/>
                <w:b/>
                <w:bCs/>
                <w:color w:val="000000"/>
                <w:kern w:val="0"/>
                <w:sz w:val="18"/>
                <w:szCs w:val="18"/>
              </w:rPr>
              <w:t>（一）评分内容：</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投标人在参与政府采购活动中存在诚信相关问题且在主管部门相关处理措施实施期限内的，本项不得分，否则得满分5分。</w:t>
            </w:r>
            <w:r>
              <w:rPr>
                <w:rFonts w:hint="eastAsia" w:ascii="宋体" w:hAnsi="宋体" w:eastAsia="宋体" w:cs="宋体"/>
                <w:color w:val="000000"/>
                <w:kern w:val="0"/>
                <w:sz w:val="18"/>
                <w:szCs w:val="18"/>
              </w:rPr>
              <w:br w:type="textWrapping"/>
            </w:r>
            <w:r>
              <w:rPr>
                <w:rFonts w:hint="eastAsia" w:ascii="宋体" w:hAnsi="宋体" w:eastAsia="宋体" w:cs="宋体"/>
                <w:b/>
                <w:bCs/>
                <w:color w:val="000000"/>
                <w:kern w:val="0"/>
                <w:sz w:val="18"/>
                <w:szCs w:val="18"/>
              </w:rPr>
              <w:t>（二）评分依据：</w:t>
            </w:r>
            <w:r>
              <w:rPr>
                <w:rFonts w:hint="eastAsia" w:ascii="宋体" w:hAnsi="宋体" w:eastAsia="宋体" w:cs="宋体"/>
                <w:color w:val="000000"/>
                <w:kern w:val="0"/>
                <w:sz w:val="18"/>
                <w:szCs w:val="18"/>
              </w:rPr>
              <w:br w:type="textWrapping"/>
            </w:r>
            <w:r>
              <w:rPr>
                <w:rFonts w:hint="eastAsia" w:ascii="宋体" w:hAnsi="宋体" w:eastAsia="宋体" w:cs="宋体"/>
                <w:color w:val="000000"/>
                <w:kern w:val="0"/>
                <w:sz w:val="18"/>
                <w:szCs w:val="18"/>
              </w:rPr>
              <w:t>投标人无需提供任何证明材料，由评审委员会通过采购系统自行查询相关信息。</w:t>
            </w:r>
          </w:p>
        </w:tc>
      </w:tr>
    </w:tbl>
    <w:p>
      <w:pPr>
        <w:spacing w:line="320" w:lineRule="exact"/>
        <w:ind w:firstLine="0" w:firstLineChars="0"/>
        <w:rPr>
          <w:rFonts w:hAnsi="仿宋_GB2312" w:cs="仿宋_GB2312"/>
          <w:color w:val="000000"/>
          <w:sz w:val="28"/>
          <w:szCs w:val="28"/>
        </w:rPr>
      </w:pPr>
    </w:p>
    <w:p>
      <w:pPr>
        <w:spacing w:line="320" w:lineRule="exact"/>
        <w:ind w:firstLine="0" w:firstLineChars="0"/>
        <w:rPr>
          <w:rFonts w:hAnsi="仿宋_GB2312" w:cs="仿宋_GB2312"/>
          <w:color w:val="000000"/>
          <w:sz w:val="28"/>
          <w:szCs w:val="28"/>
        </w:rPr>
      </w:pPr>
      <w:r>
        <w:rPr>
          <w:rFonts w:hint="eastAsia" w:hAnsi="仿宋_GB2312" w:cs="仿宋_GB2312"/>
          <w:color w:val="000000"/>
          <w:sz w:val="28"/>
          <w:szCs w:val="28"/>
        </w:rPr>
        <w:t>注：1. 每一项的得分均不能超过该项最高分值。</w:t>
      </w:r>
    </w:p>
    <w:p>
      <w:pPr>
        <w:spacing w:line="320" w:lineRule="exact"/>
        <w:ind w:firstLine="560"/>
        <w:rPr>
          <w:rFonts w:hAnsi="仿宋_GB2312" w:cs="仿宋_GB2312"/>
          <w:color w:val="000000"/>
          <w:sz w:val="28"/>
          <w:szCs w:val="28"/>
        </w:rPr>
      </w:pPr>
      <w:r>
        <w:rPr>
          <w:rFonts w:hint="eastAsia" w:hAnsi="仿宋_GB2312" w:cs="仿宋_GB2312"/>
          <w:color w:val="000000"/>
          <w:sz w:val="28"/>
          <w:szCs w:val="28"/>
        </w:rPr>
        <w:t>2. 缺项则该项为0分或不合格为0分。</w:t>
      </w:r>
    </w:p>
    <w:p>
      <w:pPr>
        <w:spacing w:line="320" w:lineRule="exact"/>
        <w:ind w:firstLine="560"/>
        <w:rPr>
          <w:rFonts w:hAnsi="仿宋_GB2312" w:cs="仿宋_GB2312"/>
          <w:color w:val="000000"/>
          <w:sz w:val="28"/>
          <w:szCs w:val="28"/>
        </w:rPr>
      </w:pPr>
      <w:r>
        <w:rPr>
          <w:rFonts w:hint="eastAsia" w:hAnsi="仿宋_GB2312" w:cs="仿宋_GB2312"/>
          <w:color w:val="000000"/>
          <w:sz w:val="28"/>
          <w:szCs w:val="28"/>
        </w:rPr>
        <w:t>3. 价格、商务、技术部分为针对项目具体情况设置项目，累加满分为100分。</w:t>
      </w:r>
    </w:p>
    <w:p>
      <w:pPr>
        <w:spacing w:line="320" w:lineRule="exact"/>
        <w:ind w:firstLine="560"/>
      </w:pPr>
      <w:r>
        <w:rPr>
          <w:rFonts w:hint="eastAsia" w:hAnsi="仿宋_GB2312" w:cs="仿宋_GB2312"/>
          <w:color w:val="000000"/>
          <w:sz w:val="28"/>
          <w:szCs w:val="28"/>
        </w:rPr>
        <w:t>4. 综合以上分析比较，评委会将对各响应文件进行书面的量化评定，得分精确到小数点后两位。</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737" w:footer="737" w:gutter="0"/>
      <w:pgNumType w:start="1"/>
      <w:cols w:space="720"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jc w:val="both"/>
    </w:pPr>
    <w: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6" name="文本框 9"/>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5"/>
                            <w:ind w:firstLine="360"/>
                            <w:jc w:val="right"/>
                          </w:pPr>
                        </w:p>
                        <w:p>
                          <w:pPr>
                            <w:pStyle w:val="3"/>
                            <w:ind w:firstLine="640"/>
                          </w:pPr>
                        </w:p>
                      </w:txbxContent>
                    </wps:txbx>
                    <wps:bodyPr wrap="none" lIns="0" tIns="0" rIns="0" bIns="0" upright="1">
                      <a:spAutoFit/>
                    </wps:bodyPr>
                  </wps:wsp>
                </a:graphicData>
              </a:graphic>
            </wp:anchor>
          </w:drawing>
        </mc:Choice>
        <mc:Fallback>
          <w:pict>
            <v:rect id="文本框 9" o:spid="_x0000_s1026" o:spt="1"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JybwdDEAQAAjwMAAA4AAAAAAAAAAQAgAAAAHwEAAGRycy9lMm9Eb2MueG1s&#10;UEsFBgAAAAAGAAYAWQEAAFUFAAAAAA==&#10;">
              <v:fill on="f" focussize="0,0"/>
              <v:stroke on="f"/>
              <v:imagedata o:title=""/>
              <o:lock v:ext="edit" aspectratio="f"/>
              <v:textbox inset="0mm,0mm,0mm,0mm" style="mso-fit-shape-to-text:t;">
                <w:txbxContent>
                  <w:p>
                    <w:pPr>
                      <w:pStyle w:val="5"/>
                      <w:ind w:firstLine="360"/>
                      <w:jc w:val="right"/>
                    </w:pPr>
                  </w:p>
                  <w:p>
                    <w:pPr>
                      <w:pStyle w:val="3"/>
                      <w:ind w:firstLine="640"/>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0" w:firstLineChars="0"/>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w:t>
    </w:r>
    <w:r>
      <w:rPr>
        <w:rFonts w:ascii="Times New Roman" w:hAnsi="Times New Roman"/>
        <w:sz w:val="28"/>
        <w:szCs w:val="28"/>
      </w:rPr>
      <w:t xml:space="preserve"> 6 -</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C66309"/>
    <w:multiLevelType w:val="singleLevel"/>
    <w:tmpl w:val="ABC66309"/>
    <w:lvl w:ilvl="0" w:tentative="0">
      <w:start w:val="3"/>
      <w:numFmt w:val="chineseCounting"/>
      <w:suff w:val="nothing"/>
      <w:lvlText w:val="%1、"/>
      <w:lvlJc w:val="left"/>
      <w:rPr>
        <w:rFonts w:hint="eastAsia"/>
      </w:rPr>
    </w:lvl>
  </w:abstractNum>
  <w:abstractNum w:abstractNumId="1">
    <w:nsid w:val="D2069012"/>
    <w:multiLevelType w:val="singleLevel"/>
    <w:tmpl w:val="D2069012"/>
    <w:lvl w:ilvl="0" w:tentative="0">
      <w:start w:val="10"/>
      <w:numFmt w:val="decimal"/>
      <w:lvlText w:val="%1."/>
      <w:lvlJc w:val="left"/>
      <w:pPr>
        <w:tabs>
          <w:tab w:val="left" w:pos="312"/>
        </w:tabs>
      </w:pPr>
    </w:lvl>
  </w:abstractNum>
  <w:abstractNum w:abstractNumId="2">
    <w:nsid w:val="FEBEC42C"/>
    <w:multiLevelType w:val="singleLevel"/>
    <w:tmpl w:val="FEBEC42C"/>
    <w:lvl w:ilvl="0" w:tentative="0">
      <w:start w:val="1"/>
      <w:numFmt w:val="chineseCounting"/>
      <w:suff w:val="nothing"/>
      <w:lvlText w:val="（%1）"/>
      <w:lvlJc w:val="left"/>
      <w:rPr>
        <w:rFonts w:hint="eastAsia"/>
      </w:rPr>
    </w:lvl>
  </w:abstractNum>
  <w:abstractNum w:abstractNumId="3">
    <w:nsid w:val="5A1110FA"/>
    <w:multiLevelType w:val="singleLevel"/>
    <w:tmpl w:val="5A1110FA"/>
    <w:lvl w:ilvl="0" w:tentative="0">
      <w:start w:val="2"/>
      <w:numFmt w:val="chineseCounting"/>
      <w:suff w:val="nothing"/>
      <w:lvlText w:val="%1、"/>
      <w:lvlJc w:val="left"/>
      <w:rPr>
        <w:rFonts w:hint="eastAsia"/>
      </w:rPr>
    </w:lvl>
  </w:abstractNum>
  <w:abstractNum w:abstractNumId="4">
    <w:nsid w:val="5A965069"/>
    <w:multiLevelType w:val="singleLevel"/>
    <w:tmpl w:val="5A965069"/>
    <w:lvl w:ilvl="0" w:tentative="0">
      <w:start w:val="1"/>
      <w:numFmt w:val="decimal"/>
      <w:lvlText w:val="%1."/>
      <w:lvlJc w:val="left"/>
      <w:pPr>
        <w:tabs>
          <w:tab w:val="left" w:pos="312"/>
        </w:tabs>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564FCB"/>
    <w:rsid w:val="000C02CF"/>
    <w:rsid w:val="00443EB7"/>
    <w:rsid w:val="00714B59"/>
    <w:rsid w:val="007D4E4D"/>
    <w:rsid w:val="008B274B"/>
    <w:rsid w:val="1AFB20BA"/>
    <w:rsid w:val="1C052A15"/>
    <w:rsid w:val="27CE1485"/>
    <w:rsid w:val="3A562E3F"/>
    <w:rsid w:val="3A564FCB"/>
    <w:rsid w:val="54C81AB0"/>
    <w:rsid w:val="56877AB8"/>
    <w:rsid w:val="597A2801"/>
    <w:rsid w:val="62DA141A"/>
    <w:rsid w:val="66502831"/>
    <w:rsid w:val="6E7308E7"/>
    <w:rsid w:val="6FB07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640" w:firstLineChars="200"/>
      <w:jc w:val="both"/>
    </w:pPr>
    <w:rPr>
      <w:rFonts w:ascii="仿宋_GB2312" w:hAnsi="Calibri" w:eastAsia="仿宋_GB2312" w:cs="Times New Roman"/>
      <w:kern w:val="2"/>
      <w:sz w:val="32"/>
      <w:szCs w:val="3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next w:val="1"/>
    <w:qFormat/>
    <w:uiPriority w:val="1"/>
    <w:rPr>
      <w:rFonts w:ascii="宋体" w:hAnsi="宋体" w:eastAsia="宋体" w:cs="宋体"/>
      <w:lang w:val="zh-CN" w:bidi="zh-CN"/>
    </w:rPr>
  </w:style>
  <w:style w:type="paragraph" w:styleId="3">
    <w:name w:val="Normal Indent"/>
    <w:basedOn w:val="1"/>
    <w:unhideWhenUsed/>
    <w:qFormat/>
    <w:uiPriority w:val="99"/>
    <w:pPr>
      <w:ind w:firstLine="420"/>
    </w:pPr>
    <w:rPr>
      <w:rFonts w:ascii="Times New Roman" w:hAnsi="Times New Roman"/>
    </w:rPr>
  </w:style>
  <w:style w:type="paragraph" w:styleId="4">
    <w:name w:val="Body Text Indent"/>
    <w:basedOn w:val="1"/>
    <w:link w:val="10"/>
    <w:qFormat/>
    <w:uiPriority w:val="0"/>
    <w:pPr>
      <w:spacing w:line="360" w:lineRule="auto"/>
      <w:ind w:firstLine="420"/>
    </w:pPr>
  </w:style>
  <w:style w:type="paragraph" w:styleId="5">
    <w:name w:val="footer"/>
    <w:basedOn w:val="1"/>
    <w:unhideWhenUsed/>
    <w:qFormat/>
    <w:uiPriority w:val="99"/>
    <w:pPr>
      <w:tabs>
        <w:tab w:val="center" w:pos="4153"/>
        <w:tab w:val="right" w:pos="8306"/>
      </w:tabs>
      <w:snapToGrid w:val="0"/>
      <w:spacing w:line="240" w:lineRule="atLeast"/>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正文文本缩进 字符"/>
    <w:link w:val="4"/>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7285</Words>
  <Characters>767</Characters>
  <Lines>6</Lines>
  <Paragraphs>16</Paragraphs>
  <TotalTime>30</TotalTime>
  <ScaleCrop>false</ScaleCrop>
  <LinksUpToDate>false</LinksUpToDate>
  <CharactersWithSpaces>8036</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2024-04-01T02:42:00Z</dcterms:created>
  <dc:creator>yua</dc:creator>
  <cp:lastModifiedBy>yua</cp:lastModifiedBy>
  <dcterms:modified xsi:type="dcterms:W3CDTF">2024-04-07T03:00:08Z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A8659DA4619042D68BB8B634112B5568</vt:lpwstr>
  </property>
</Properties>
</file>