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4"/>
        <w:tblW w:w="5000" w:type="pct"/>
        <w:tblInd w:w="0" w:type="dxa"/>
        <w:tblLayout w:type="autofit"/>
        <w:tblCellMar>
          <w:top w:w="0" w:type="dxa"/>
          <w:left w:w="108" w:type="dxa"/>
          <w:bottom w:w="0" w:type="dxa"/>
          <w:right w:w="108" w:type="dxa"/>
        </w:tblCellMar>
      </w:tblPr>
      <w:tblGrid>
        <w:gridCol w:w="990"/>
        <w:gridCol w:w="2484"/>
        <w:gridCol w:w="1723"/>
        <w:gridCol w:w="1723"/>
        <w:gridCol w:w="2480"/>
      </w:tblGrid>
      <w:tr>
        <w:tblPrEx>
          <w:tblCellMar>
            <w:top w:w="0" w:type="dxa"/>
            <w:left w:w="108" w:type="dxa"/>
            <w:bottom w:w="0" w:type="dxa"/>
            <w:right w:w="108" w:type="dxa"/>
          </w:tblCellMar>
        </w:tblPrEx>
        <w:trPr>
          <w:trHeight w:val="1212" w:hRule="exact"/>
        </w:trPr>
        <w:tc>
          <w:tcPr>
            <w:tcW w:w="63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hint="default" w:ascii="仿宋_GB2312" w:hAnsi="仿宋_GB2312" w:eastAsia="仿宋_GB2312" w:cs="仿宋_GB2312"/>
                <w:color w:val="auto"/>
                <w:kern w:val="0"/>
                <w:sz w:val="24"/>
                <w:lang w:val="en-US"/>
              </w:rPr>
            </w:pPr>
            <w:r>
              <w:rPr>
                <w:rFonts w:hint="eastAsia" w:ascii="仿宋_GB2312" w:hAnsi="仿宋_GB2312" w:eastAsia="仿宋_GB2312" w:cs="仿宋_GB2312"/>
                <w:b/>
                <w:bCs/>
                <w:color w:val="auto"/>
                <w:kern w:val="0"/>
                <w:sz w:val="24"/>
                <w:lang w:val="en-US"/>
              </w:rPr>
              <w:t>项目名称</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left"/>
              <w:rPr>
                <w:rFonts w:hint="default" w:ascii="仿宋_GB2312" w:hAnsi="仿宋_GB2312" w:eastAsia="仿宋_GB2312" w:cs="仿宋_GB2312"/>
                <w:color w:val="auto"/>
                <w:kern w:val="0"/>
                <w:sz w:val="24"/>
                <w:lang w:val="en-US"/>
              </w:rPr>
            </w:pPr>
            <w:r>
              <w:rPr>
                <w:rFonts w:hint="eastAsia" w:ascii="仿宋_GB2312" w:hAnsi="仿宋_GB2312" w:eastAsia="仿宋_GB2312" w:cs="仿宋_GB2312"/>
                <w:color w:val="auto"/>
                <w:kern w:val="0"/>
                <w:sz w:val="24"/>
                <w:lang w:val="en-US" w:eastAsia="zh-CN"/>
              </w:rPr>
              <w:t>福保街道2024年石厦村安全隐患综合整治项目</w:t>
            </w:r>
            <w:r>
              <w:rPr>
                <w:rFonts w:hint="eastAsia" w:ascii="仿宋_GB2312" w:hAnsi="仿宋_GB2312" w:eastAsia="仿宋_GB2312" w:cs="仿宋_GB2312"/>
                <w:color w:val="auto"/>
                <w:kern w:val="0"/>
                <w:sz w:val="24"/>
                <w:lang w:val="en-US"/>
              </w:rPr>
              <w:t>　</w:t>
            </w:r>
          </w:p>
        </w:tc>
        <w:tc>
          <w:tcPr>
            <w:tcW w:w="93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rPr>
              <w:t>预算金额</w:t>
            </w:r>
          </w:p>
        </w:tc>
        <w:tc>
          <w:tcPr>
            <w:tcW w:w="1147"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 xml:space="preserve">               </w:t>
            </w:r>
            <w:r>
              <w:rPr>
                <w:rFonts w:hint="default" w:ascii="仿宋_GB2312" w:hAnsi="仿宋_GB2312" w:eastAsia="仿宋_GB2312" w:cs="仿宋_GB2312"/>
                <w:color w:val="auto"/>
                <w:kern w:val="0"/>
                <w:sz w:val="24"/>
                <w:lang w:val="en-US"/>
              </w:rPr>
              <w:t>300000</w:t>
            </w:r>
            <w:r>
              <w:rPr>
                <w:rFonts w:hint="eastAsia" w:ascii="仿宋_GB2312" w:hAnsi="仿宋_GB2312" w:eastAsia="仿宋_GB2312" w:cs="仿宋_GB2312"/>
                <w:color w:val="auto"/>
                <w:kern w:val="0"/>
                <w:sz w:val="24"/>
              </w:rPr>
              <w:t>元</w:t>
            </w:r>
          </w:p>
        </w:tc>
      </w:tr>
      <w:tr>
        <w:tblPrEx>
          <w:tblCellMar>
            <w:top w:w="0" w:type="dxa"/>
            <w:left w:w="108" w:type="dxa"/>
            <w:bottom w:w="0" w:type="dxa"/>
            <w:right w:w="108" w:type="dxa"/>
          </w:tblCellMar>
        </w:tblPrEx>
        <w:trPr>
          <w:trHeight w:val="797" w:hRule="exac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rPr>
              <w:t>采购部门</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color w:val="auto"/>
                <w:kern w:val="0"/>
                <w:sz w:val="24"/>
              </w:rPr>
            </w:pPr>
            <w:r>
              <w:rPr>
                <w:rFonts w:hint="eastAsia" w:ascii="仿宋_GB2312" w:hAnsi="仿宋_GB2312" w:eastAsia="仿宋_GB2312" w:cs="仿宋_GB2312"/>
                <w:color w:val="auto"/>
                <w:kern w:val="0"/>
                <w:sz w:val="24"/>
                <w:lang w:eastAsia="zh-CN"/>
              </w:rPr>
              <w:t>应急办</w:t>
            </w:r>
            <w:r>
              <w:rPr>
                <w:rFonts w:hint="eastAsia" w:ascii="仿宋_GB2312" w:hAnsi="仿宋_GB2312" w:eastAsia="仿宋_GB2312" w:cs="仿宋_GB2312"/>
                <w:color w:val="auto"/>
                <w:kern w:val="0"/>
                <w:sz w:val="24"/>
              </w:rPr>
              <w:t>　</w:t>
            </w:r>
          </w:p>
        </w:tc>
        <w:tc>
          <w:tcPr>
            <w:tcW w:w="931"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rPr>
              <w:t>项目经办人</w:t>
            </w:r>
          </w:p>
        </w:tc>
        <w:tc>
          <w:tcPr>
            <w:tcW w:w="114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color w:val="auto"/>
                <w:kern w:val="0"/>
                <w:sz w:val="24"/>
                <w:lang w:eastAsia="zh-CN"/>
              </w:rPr>
            </w:pPr>
            <w:r>
              <w:rPr>
                <w:rFonts w:hint="eastAsia" w:ascii="仿宋_GB2312" w:hAnsi="仿宋_GB2312" w:eastAsia="仿宋_GB2312" w:cs="仿宋_GB2312"/>
                <w:color w:val="auto"/>
                <w:kern w:val="0"/>
                <w:sz w:val="24"/>
              </w:rPr>
              <w:t>　</w:t>
            </w:r>
            <w:r>
              <w:rPr>
                <w:rFonts w:hint="eastAsia" w:ascii="仿宋_GB2312" w:hAnsi="仿宋_GB2312" w:eastAsia="仿宋_GB2312" w:cs="仿宋_GB2312"/>
                <w:color w:val="auto"/>
                <w:kern w:val="0"/>
                <w:sz w:val="24"/>
                <w:lang w:eastAsia="zh-CN"/>
              </w:rPr>
              <w:t>刘军</w:t>
            </w:r>
          </w:p>
        </w:tc>
      </w:tr>
      <w:tr>
        <w:tblPrEx>
          <w:tblCellMar>
            <w:top w:w="0" w:type="dxa"/>
            <w:left w:w="108" w:type="dxa"/>
            <w:bottom w:w="0" w:type="dxa"/>
            <w:right w:w="108" w:type="dxa"/>
          </w:tblCellMar>
        </w:tblPrEx>
        <w:trPr>
          <w:trHeight w:val="24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rPr>
              <w:t>采购类型</w:t>
            </w:r>
          </w:p>
        </w:tc>
        <w:tc>
          <w:tcPr>
            <w:tcW w:w="135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color w:val="auto"/>
                <w:kern w:val="0"/>
                <w:sz w:val="24"/>
              </w:rPr>
            </w:pPr>
            <w:r>
              <w:rPr>
                <w:rFonts w:hint="eastAsia" w:ascii="仿宋_GB2312" w:hAnsi="仿宋_GB2312" w:eastAsia="仿宋_GB2312" w:cs="仿宋_GB2312"/>
                <w:b/>
                <w:bCs/>
                <w:color w:val="auto"/>
                <w:kern w:val="0"/>
                <w:sz w:val="24"/>
                <w:lang w:eastAsia="zh-CN"/>
              </w:rPr>
              <w:t>☑</w:t>
            </w:r>
            <w:r>
              <w:rPr>
                <w:rFonts w:hint="eastAsia" w:ascii="仿宋_GB2312" w:hAnsi="仿宋_GB2312" w:eastAsia="仿宋_GB2312" w:cs="仿宋_GB2312"/>
                <w:b/>
                <w:bCs/>
                <w:color w:val="auto"/>
                <w:kern w:val="0"/>
                <w:sz w:val="24"/>
              </w:rPr>
              <w:t>服务类</w:t>
            </w:r>
            <w:r>
              <w:rPr>
                <w:rFonts w:hint="eastAsia" w:ascii="仿宋_GB2312" w:hAnsi="仿宋_GB2312" w:eastAsia="仿宋_GB2312" w:cs="仿宋_GB2312"/>
                <w:color w:val="auto"/>
                <w:kern w:val="0"/>
                <w:sz w:val="24"/>
              </w:rPr>
              <w:t>　</w:t>
            </w:r>
          </w:p>
          <w:p>
            <w:pPr>
              <w:widowControl/>
              <w:spacing w:line="240" w:lineRule="auto"/>
              <w:ind w:firstLine="0" w:firstLineChars="0"/>
              <w:jc w:val="center"/>
              <w:rPr>
                <w:rFonts w:ascii="仿宋_GB2312" w:hAnsi="仿宋_GB2312" w:eastAsia="仿宋_GB2312" w:cs="仿宋_GB2312"/>
                <w:color w:val="auto"/>
                <w:kern w:val="0"/>
                <w:sz w:val="24"/>
              </w:rPr>
            </w:pPr>
            <w:r>
              <w:rPr>
                <w:rFonts w:hint="eastAsia" w:ascii="仿宋_GB2312" w:hAnsi="仿宋_GB2312" w:eastAsia="仿宋_GB2312" w:cs="仿宋_GB2312"/>
                <w:b/>
                <w:bCs/>
                <w:color w:val="auto"/>
                <w:kern w:val="0"/>
                <w:sz w:val="24"/>
              </w:rPr>
              <w:t>□货物类</w:t>
            </w:r>
            <w:r>
              <w:rPr>
                <w:rFonts w:hint="eastAsia" w:ascii="仿宋_GB2312" w:hAnsi="仿宋_GB2312" w:eastAsia="仿宋_GB2312" w:cs="仿宋_GB2312"/>
                <w:color w:val="auto"/>
                <w:kern w:val="0"/>
                <w:sz w:val="24"/>
              </w:rPr>
              <w:t>　</w:t>
            </w:r>
          </w:p>
          <w:p>
            <w:pPr>
              <w:widowControl/>
              <w:spacing w:line="240" w:lineRule="auto"/>
              <w:ind w:firstLine="0" w:firstLineChars="0"/>
              <w:jc w:val="center"/>
              <w:rPr>
                <w:rFonts w:ascii="仿宋_GB2312" w:hAnsi="仿宋_GB2312" w:eastAsia="仿宋_GB2312" w:cs="仿宋_GB2312"/>
                <w:color w:val="auto"/>
                <w:kern w:val="0"/>
                <w:sz w:val="24"/>
              </w:rPr>
            </w:pPr>
            <w:r>
              <w:rPr>
                <w:rFonts w:hint="eastAsia" w:ascii="仿宋_GB2312" w:hAnsi="仿宋_GB2312" w:eastAsia="仿宋_GB2312" w:cs="仿宋_GB2312"/>
                <w:b/>
                <w:bCs/>
                <w:color w:val="auto"/>
                <w:kern w:val="0"/>
                <w:sz w:val="24"/>
              </w:rPr>
              <w:t>□工程类</w:t>
            </w:r>
          </w:p>
        </w:tc>
        <w:tc>
          <w:tcPr>
            <w:tcW w:w="931"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rPr>
              <w:t>采购方式</w:t>
            </w:r>
          </w:p>
        </w:tc>
        <w:tc>
          <w:tcPr>
            <w:tcW w:w="207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rPr>
              <w:t>□直接确定供应商（3万元以下）□询价</w:t>
            </w:r>
            <w:bookmarkStart w:id="0" w:name="_GoBack"/>
            <w:bookmarkEnd w:id="0"/>
          </w:p>
          <w:p>
            <w:pPr>
              <w:widowControl/>
              <w:spacing w:line="240" w:lineRule="auto"/>
              <w:ind w:firstLine="0" w:firstLineChars="0"/>
              <w:jc w:val="left"/>
              <w:rPr>
                <w:rFonts w:ascii="仿宋_GB2312" w:hAnsi="仿宋_GB2312" w:eastAsia="仿宋_GB2312" w:cs="仿宋_GB2312"/>
                <w:color w:val="auto"/>
                <w:kern w:val="0"/>
                <w:sz w:val="24"/>
              </w:rPr>
            </w:pPr>
            <w:r>
              <w:rPr>
                <w:rFonts w:hint="eastAsia" w:ascii="仿宋_GB2312" w:hAnsi="仿宋_GB2312" w:eastAsia="仿宋_GB2312" w:cs="仿宋_GB2312"/>
                <w:b/>
                <w:bCs/>
                <w:color w:val="auto"/>
                <w:kern w:val="0"/>
                <w:sz w:val="24"/>
              </w:rPr>
              <w:t xml:space="preserve">□直接确定供应商（特殊）   </w:t>
            </w:r>
            <w:r>
              <w:rPr>
                <w:rFonts w:hint="eastAsia" w:ascii="仿宋_GB2312" w:hAnsi="仿宋_GB2312" w:eastAsia="仿宋_GB2312" w:cs="仿宋_GB2312"/>
                <w:b/>
                <w:bCs/>
                <w:color w:val="auto"/>
                <w:kern w:val="0"/>
                <w:sz w:val="24"/>
                <w:lang w:eastAsia="zh-CN"/>
              </w:rPr>
              <w:t>☑</w:t>
            </w:r>
            <w:r>
              <w:rPr>
                <w:rFonts w:hint="eastAsia" w:ascii="仿宋_GB2312" w:hAnsi="仿宋_GB2312" w:eastAsia="仿宋_GB2312" w:cs="仿宋_GB2312"/>
                <w:b/>
                <w:bCs/>
                <w:color w:val="auto"/>
                <w:kern w:val="0"/>
                <w:sz w:val="24"/>
              </w:rPr>
              <w:t>比价谈判</w:t>
            </w:r>
          </w:p>
        </w:tc>
      </w:tr>
      <w:tr>
        <w:tblPrEx>
          <w:tblCellMar>
            <w:top w:w="0" w:type="dxa"/>
            <w:left w:w="108" w:type="dxa"/>
            <w:bottom w:w="0" w:type="dxa"/>
            <w:right w:w="108" w:type="dxa"/>
          </w:tblCellMar>
        </w:tblPrEx>
        <w:trPr>
          <w:trHeight w:val="1692"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rPr>
              <w:t>项目背景</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color w:val="auto"/>
                <w:kern w:val="0"/>
                <w:sz w:val="24"/>
              </w:rPr>
            </w:pPr>
            <w:r>
              <w:rPr>
                <w:rFonts w:hint="default" w:ascii="仿宋_GB2312" w:hAnsi="仿宋_GB2312" w:eastAsia="仿宋_GB2312" w:cs="仿宋_GB2312"/>
                <w:color w:val="auto"/>
                <w:kern w:val="0"/>
                <w:sz w:val="24"/>
                <w:lang w:val="en-US" w:eastAsia="zh-CN"/>
              </w:rPr>
              <w:t xml:space="preserve">   </w:t>
            </w:r>
            <w:r>
              <w:rPr>
                <w:rFonts w:hint="eastAsia" w:ascii="仿宋_GB2312" w:hAnsi="仿宋_GB2312" w:eastAsia="仿宋_GB2312" w:cs="仿宋_GB2312"/>
                <w:color w:val="auto"/>
                <w:kern w:val="0"/>
                <w:sz w:val="24"/>
                <w:lang w:val="en-US" w:eastAsia="zh-CN"/>
              </w:rPr>
              <w:t>为进一步做好辖区城中村安全隐患综合整治工作，拟开展202</w:t>
            </w:r>
            <w:r>
              <w:rPr>
                <w:rFonts w:hint="default" w:ascii="仿宋_GB2312" w:hAnsi="仿宋_GB2312" w:eastAsia="仿宋_GB2312" w:cs="仿宋_GB2312"/>
                <w:color w:val="auto"/>
                <w:kern w:val="0"/>
                <w:sz w:val="24"/>
                <w:lang w:val="en-US" w:eastAsia="zh-CN"/>
              </w:rPr>
              <w:t>4</w:t>
            </w:r>
            <w:r>
              <w:rPr>
                <w:rFonts w:hint="eastAsia" w:ascii="仿宋_GB2312" w:hAnsi="仿宋_GB2312" w:eastAsia="仿宋_GB2312" w:cs="仿宋_GB2312"/>
                <w:color w:val="auto"/>
                <w:kern w:val="0"/>
                <w:sz w:val="24"/>
                <w:lang w:val="en-US" w:eastAsia="zh-CN"/>
              </w:rPr>
              <w:t>年石厦村夜间安全隐患综合整治专项行动，重点整治消防通道堵塞、屋面楼道杂物堆积、电动自行车违规充电、出租屋木板房中房、三小场所违规住人、违规使用黑煤气和其他用电、用气等安全隐患。在整治过程中，需聘请第三方公司对堵塞消防通道的堆积物、屋面楼道杂物、乱拉电线等安全隐患进行拆除清理。</w:t>
            </w:r>
          </w:p>
        </w:tc>
      </w:tr>
      <w:tr>
        <w:tblPrEx>
          <w:tblCellMar>
            <w:top w:w="0" w:type="dxa"/>
            <w:left w:w="108" w:type="dxa"/>
            <w:bottom w:w="0" w:type="dxa"/>
            <w:right w:w="108" w:type="dxa"/>
          </w:tblCellMar>
        </w:tblPrEx>
        <w:trPr>
          <w:trHeight w:val="712" w:hRule="atLeast"/>
        </w:trPr>
        <w:tc>
          <w:tcPr>
            <w:tcW w:w="639"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rPr>
              <w:t>项目需求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color w:val="auto"/>
                <w:kern w:val="0"/>
                <w:sz w:val="24"/>
                <w:lang w:val="en-US" w:eastAsia="zh-CN"/>
              </w:rPr>
            </w:pPr>
            <w:r>
              <w:rPr>
                <w:rFonts w:hint="eastAsia" w:ascii="仿宋_GB2312" w:hAnsi="仿宋_GB2312" w:eastAsia="仿宋_GB2312" w:cs="仿宋_GB2312"/>
                <w:color w:val="auto"/>
                <w:kern w:val="0"/>
                <w:sz w:val="24"/>
                <w:lang w:val="en-US" w:eastAsia="zh-CN"/>
              </w:rPr>
              <w:t>项目技术要求：</w:t>
            </w:r>
          </w:p>
          <w:p>
            <w:pPr>
              <w:widowControl/>
              <w:spacing w:line="240" w:lineRule="auto"/>
              <w:ind w:firstLine="0" w:firstLineChars="0"/>
              <w:jc w:val="left"/>
              <w:rPr>
                <w:rFonts w:hint="eastAsia" w:eastAsia="仿宋_GB2312"/>
                <w:color w:val="auto"/>
                <w:lang w:eastAsia="zh-CN"/>
              </w:rPr>
            </w:pPr>
            <w:r>
              <w:rPr>
                <w:rFonts w:hint="eastAsia" w:ascii="仿宋_GB2312" w:hAnsi="仿宋_GB2312" w:eastAsia="仿宋_GB2312" w:cs="仿宋_GB2312"/>
                <w:color w:val="auto"/>
                <w:kern w:val="0"/>
                <w:sz w:val="24"/>
                <w:lang w:val="en-US" w:eastAsia="zh-CN"/>
              </w:rPr>
              <w:t>安排人员和车辆配合协助巡查工作人员工作</w:t>
            </w:r>
          </w:p>
        </w:tc>
      </w:tr>
      <w:tr>
        <w:tblPrEx>
          <w:tblCellMar>
            <w:top w:w="0" w:type="dxa"/>
            <w:left w:w="108" w:type="dxa"/>
            <w:bottom w:w="0" w:type="dxa"/>
            <w:right w:w="108" w:type="dxa"/>
          </w:tblCellMar>
        </w:tblPrEx>
        <w:trPr>
          <w:trHeight w:val="3070" w:hRule="atLeast"/>
        </w:trPr>
        <w:tc>
          <w:tcPr>
            <w:tcW w:w="639"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color w:val="auto"/>
                <w:kern w:val="0"/>
                <w:sz w:val="24"/>
              </w:rPr>
            </w:pP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项目商务要求：</w:t>
            </w:r>
          </w:p>
          <w:p>
            <w:pPr>
              <w:widowControl/>
              <w:spacing w:line="240" w:lineRule="auto"/>
              <w:ind w:firstLine="0" w:firstLineChars="0"/>
              <w:jc w:val="left"/>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1.服务期限：</w:t>
            </w:r>
          </w:p>
          <w:p>
            <w:pPr>
              <w:widowControl/>
              <w:spacing w:line="240" w:lineRule="auto"/>
              <w:ind w:firstLine="0" w:firstLineChars="0"/>
              <w:jc w:val="left"/>
              <w:rPr>
                <w:rFonts w:hint="eastAsia" w:ascii="仿宋_GB2312" w:hAnsi="仿宋_GB2312" w:eastAsia="仿宋_GB2312" w:cs="仿宋_GB2312"/>
                <w:color w:val="auto"/>
                <w:kern w:val="0"/>
                <w:sz w:val="24"/>
                <w:lang w:val="en-US" w:eastAsia="zh-CN"/>
              </w:rPr>
            </w:pPr>
            <w:r>
              <w:rPr>
                <w:rFonts w:hint="eastAsia" w:ascii="仿宋_GB2312" w:hAnsi="仿宋_GB2312" w:eastAsia="仿宋_GB2312" w:cs="仿宋_GB2312"/>
                <w:color w:val="auto"/>
                <w:kern w:val="0"/>
                <w:sz w:val="24"/>
                <w:lang w:val="en-US" w:eastAsia="zh-CN"/>
              </w:rPr>
              <w:t>自合同签订之日起至</w:t>
            </w:r>
            <w:r>
              <w:rPr>
                <w:rFonts w:hint="default" w:ascii="仿宋_GB2312" w:hAnsi="仿宋_GB2312" w:eastAsia="仿宋_GB2312" w:cs="仿宋_GB2312"/>
                <w:color w:val="auto"/>
                <w:kern w:val="0"/>
                <w:sz w:val="24"/>
                <w:lang w:val="en-US" w:eastAsia="zh-CN"/>
              </w:rPr>
              <w:t>2024</w:t>
            </w:r>
            <w:r>
              <w:rPr>
                <w:rFonts w:hint="eastAsia" w:ascii="仿宋_GB2312" w:hAnsi="仿宋_GB2312" w:eastAsia="仿宋_GB2312" w:cs="仿宋_GB2312"/>
                <w:color w:val="auto"/>
                <w:kern w:val="0"/>
                <w:sz w:val="24"/>
                <w:lang w:val="en-US" w:eastAsia="zh-CN"/>
              </w:rPr>
              <w:t>年</w:t>
            </w:r>
            <w:r>
              <w:rPr>
                <w:rFonts w:hint="default" w:ascii="仿宋_GB2312" w:hAnsi="仿宋_GB2312" w:eastAsia="仿宋_GB2312" w:cs="仿宋_GB2312"/>
                <w:color w:val="auto"/>
                <w:kern w:val="0"/>
                <w:sz w:val="24"/>
                <w:lang w:val="en-US" w:eastAsia="zh-CN"/>
              </w:rPr>
              <w:t>12</w:t>
            </w:r>
            <w:r>
              <w:rPr>
                <w:rFonts w:hint="eastAsia" w:ascii="仿宋_GB2312" w:hAnsi="仿宋_GB2312" w:eastAsia="仿宋_GB2312" w:cs="仿宋_GB2312"/>
                <w:color w:val="auto"/>
                <w:kern w:val="0"/>
                <w:sz w:val="24"/>
                <w:lang w:val="en-US" w:eastAsia="zh-CN"/>
              </w:rPr>
              <w:t>月</w:t>
            </w:r>
            <w:r>
              <w:rPr>
                <w:rFonts w:hint="default" w:ascii="仿宋_GB2312" w:hAnsi="仿宋_GB2312" w:eastAsia="仿宋_GB2312" w:cs="仿宋_GB2312"/>
                <w:color w:val="auto"/>
                <w:kern w:val="0"/>
                <w:sz w:val="24"/>
                <w:lang w:val="en-US" w:eastAsia="zh-CN"/>
              </w:rPr>
              <w:t>31</w:t>
            </w:r>
            <w:r>
              <w:rPr>
                <w:rFonts w:hint="eastAsia" w:ascii="仿宋_GB2312" w:hAnsi="仿宋_GB2312" w:eastAsia="仿宋_GB2312" w:cs="仿宋_GB2312"/>
                <w:color w:val="auto"/>
                <w:kern w:val="0"/>
                <w:sz w:val="24"/>
                <w:lang w:val="en-US" w:eastAsia="zh-CN"/>
              </w:rPr>
              <w:t>日</w:t>
            </w:r>
          </w:p>
          <w:p>
            <w:pPr>
              <w:widowControl/>
              <w:spacing w:line="240" w:lineRule="auto"/>
              <w:ind w:firstLine="0" w:firstLineChars="0"/>
              <w:jc w:val="left"/>
              <w:rPr>
                <w:rFonts w:hint="eastAsia" w:ascii="仿宋_GB2312" w:hAnsi="仿宋_GB2312" w:eastAsia="仿宋_GB2312" w:cs="仿宋_GB2312"/>
                <w:color w:val="auto"/>
                <w:kern w:val="0"/>
                <w:sz w:val="24"/>
                <w:lang w:val="en-US" w:eastAsia="zh-CN"/>
              </w:rPr>
            </w:pPr>
            <w:r>
              <w:rPr>
                <w:rFonts w:hint="eastAsia" w:ascii="仿宋_GB2312" w:hAnsi="仿宋_GB2312" w:eastAsia="仿宋_GB2312" w:cs="仿宋_GB2312"/>
                <w:color w:val="auto"/>
                <w:kern w:val="0"/>
                <w:sz w:val="24"/>
              </w:rPr>
              <w:t>2.</w:t>
            </w:r>
            <w:r>
              <w:rPr>
                <w:rFonts w:hint="eastAsia" w:ascii="仿宋_GB2312" w:hAnsi="仿宋_GB2312" w:eastAsia="仿宋_GB2312" w:cs="仿宋_GB2312"/>
                <w:color w:val="auto"/>
                <w:kern w:val="0"/>
                <w:sz w:val="24"/>
                <w:lang w:val="en-US" w:eastAsia="zh-CN"/>
              </w:rPr>
              <w:t>付款方式：</w:t>
            </w:r>
          </w:p>
          <w:p>
            <w:pPr>
              <w:widowControl/>
              <w:spacing w:line="240" w:lineRule="auto"/>
              <w:ind w:firstLine="0" w:firstLineChars="0"/>
              <w:jc w:val="left"/>
              <w:rPr>
                <w:rFonts w:hint="eastAsia" w:ascii="仿宋_GB2312" w:hAnsi="仿宋_GB2312" w:eastAsia="仿宋_GB2312" w:cs="仿宋_GB2312"/>
                <w:color w:val="auto"/>
                <w:kern w:val="0"/>
                <w:sz w:val="24"/>
                <w:lang w:val="en-US" w:eastAsia="zh-CN"/>
              </w:rPr>
            </w:pPr>
            <w:r>
              <w:rPr>
                <w:rFonts w:hint="eastAsia" w:ascii="仿宋_GB2312" w:hAnsi="仿宋_GB2312" w:eastAsia="仿宋_GB2312" w:cs="仿宋_GB2312"/>
                <w:color w:val="auto"/>
                <w:kern w:val="0"/>
                <w:sz w:val="24"/>
                <w:lang w:val="en-US" w:eastAsia="zh-CN"/>
              </w:rPr>
              <w:t>（分期付款：合同签订后，乙方每月最后一天把本月的垃圾清理清运服务具体情况表、服务金额统计好交给甲方审核，经甲方审核通过后，乙方开具相应金额的发票给甲方，甲方在每月10日前支付前一个月的垃圾清理清运服务费给乙方。</w:t>
            </w:r>
          </w:p>
          <w:p>
            <w:pPr>
              <w:widowControl/>
              <w:spacing w:line="240" w:lineRule="auto"/>
              <w:ind w:firstLine="0" w:firstLineChars="0"/>
              <w:jc w:val="left"/>
              <w:rPr>
                <w:rFonts w:hint="eastAsia" w:ascii="仿宋_GB2312" w:hAnsi="仿宋_GB2312" w:eastAsia="仿宋_GB2312" w:cs="仿宋_GB2312"/>
                <w:color w:val="auto"/>
                <w:kern w:val="0"/>
                <w:sz w:val="24"/>
                <w:lang w:eastAsia="zh-CN"/>
              </w:rPr>
            </w:pPr>
            <w:r>
              <w:rPr>
                <w:rFonts w:hint="eastAsia" w:ascii="仿宋_GB2312" w:hAnsi="仿宋_GB2312" w:eastAsia="仿宋_GB2312" w:cs="仿宋_GB2312"/>
                <w:color w:val="auto"/>
                <w:kern w:val="0"/>
                <w:sz w:val="24"/>
              </w:rPr>
              <w:t>3.报价要求：</w:t>
            </w:r>
            <w:r>
              <w:rPr>
                <w:rFonts w:hint="eastAsia" w:ascii="仿宋_GB2312" w:hAnsi="仿宋_GB2312" w:eastAsia="仿宋_GB2312" w:cs="仿宋_GB2312"/>
                <w:color w:val="auto"/>
                <w:kern w:val="0"/>
                <w:sz w:val="24"/>
                <w:lang w:eastAsia="zh-CN"/>
              </w:rPr>
              <w:t>在预算价格以内</w:t>
            </w:r>
          </w:p>
          <w:p>
            <w:pPr>
              <w:widowControl/>
              <w:spacing w:line="240" w:lineRule="auto"/>
              <w:ind w:firstLine="0" w:firstLineChars="0"/>
              <w:jc w:val="left"/>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4.违约责任</w:t>
            </w:r>
          </w:p>
          <w:p>
            <w:pPr>
              <w:widowControl/>
              <w:spacing w:line="240" w:lineRule="auto"/>
              <w:ind w:firstLine="0" w:firstLineChars="0"/>
              <w:jc w:val="left"/>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5.其他</w:t>
            </w:r>
          </w:p>
        </w:tc>
      </w:tr>
      <w:tr>
        <w:tblPrEx>
          <w:tblCellMar>
            <w:top w:w="0" w:type="dxa"/>
            <w:left w:w="108" w:type="dxa"/>
            <w:bottom w:w="0" w:type="dxa"/>
            <w:right w:w="108" w:type="dxa"/>
          </w:tblCellMar>
        </w:tblPrEx>
        <w:trPr>
          <w:trHeight w:val="143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rPr>
              <w:t>投标人资质要求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2.本项目不接受联合体投标。</w:t>
            </w:r>
          </w:p>
          <w:p>
            <w:pPr>
              <w:widowControl/>
              <w:spacing w:line="240" w:lineRule="auto"/>
              <w:ind w:firstLine="0" w:firstLineChars="0"/>
              <w:jc w:val="left"/>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127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rPr>
              <w:t>投标人需提供资料</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color w:val="auto"/>
                <w:kern w:val="0"/>
                <w:sz w:val="24"/>
                <w:lang w:val="en-US" w:eastAsia="zh-CN"/>
              </w:rPr>
            </w:pPr>
            <w:r>
              <w:rPr>
                <w:rFonts w:hint="eastAsia" w:ascii="仿宋_GB2312" w:hAnsi="仿宋_GB2312" w:eastAsia="仿宋_GB2312" w:cs="仿宋_GB2312"/>
                <w:color w:val="auto"/>
                <w:kern w:val="0"/>
                <w:sz w:val="24"/>
                <w:lang w:val="en-US" w:eastAsia="zh-CN"/>
              </w:rPr>
              <w:t>1、营业执照、经营范围等相关资质复印件；</w:t>
            </w:r>
          </w:p>
          <w:p>
            <w:pPr>
              <w:widowControl/>
              <w:spacing w:line="240" w:lineRule="auto"/>
              <w:ind w:firstLine="0" w:firstLineChars="0"/>
              <w:jc w:val="left"/>
              <w:rPr>
                <w:rFonts w:hint="eastAsia" w:ascii="仿宋_GB2312" w:hAnsi="仿宋_GB2312" w:eastAsia="仿宋_GB2312" w:cs="仿宋_GB2312"/>
                <w:color w:val="auto"/>
                <w:kern w:val="0"/>
                <w:sz w:val="24"/>
                <w:lang w:val="en-US" w:eastAsia="zh-CN"/>
              </w:rPr>
            </w:pPr>
            <w:r>
              <w:rPr>
                <w:rFonts w:hint="eastAsia" w:ascii="仿宋_GB2312" w:hAnsi="仿宋_GB2312" w:eastAsia="仿宋_GB2312" w:cs="仿宋_GB2312"/>
                <w:color w:val="auto"/>
                <w:kern w:val="0"/>
                <w:sz w:val="24"/>
                <w:lang w:val="en-US" w:eastAsia="zh-CN"/>
              </w:rPr>
              <w:t>2、投标报价单；</w:t>
            </w:r>
          </w:p>
          <w:p>
            <w:pPr>
              <w:widowControl/>
              <w:spacing w:line="240" w:lineRule="auto"/>
              <w:ind w:firstLine="0" w:firstLineChars="0"/>
              <w:jc w:val="left"/>
              <w:rPr>
                <w:rFonts w:hint="eastAsia" w:ascii="仿宋_GB2312" w:hAnsi="仿宋_GB2312" w:eastAsia="仿宋_GB2312" w:cs="仿宋_GB2312"/>
                <w:color w:val="auto"/>
                <w:kern w:val="0"/>
                <w:sz w:val="24"/>
                <w:lang w:val="en-US" w:eastAsia="zh-CN"/>
              </w:rPr>
            </w:pPr>
            <w:r>
              <w:rPr>
                <w:rFonts w:hint="eastAsia" w:ascii="仿宋_GB2312" w:hAnsi="仿宋_GB2312" w:eastAsia="仿宋_GB2312" w:cs="仿宋_GB2312"/>
                <w:color w:val="auto"/>
                <w:kern w:val="0"/>
                <w:sz w:val="24"/>
                <w:lang w:val="en-US" w:eastAsia="zh-CN"/>
              </w:rPr>
              <w:t>3、公司详细简介；</w:t>
            </w:r>
          </w:p>
          <w:p>
            <w:pPr>
              <w:widowControl/>
              <w:spacing w:line="240" w:lineRule="auto"/>
              <w:ind w:firstLine="0" w:firstLineChars="0"/>
              <w:jc w:val="left"/>
              <w:rPr>
                <w:rFonts w:hint="eastAsia" w:ascii="仿宋_GB2312" w:hAnsi="仿宋_GB2312" w:eastAsia="仿宋_GB2312" w:cs="仿宋_GB2312"/>
                <w:color w:val="auto"/>
                <w:kern w:val="0"/>
                <w:sz w:val="24"/>
                <w:lang w:val="en-US" w:eastAsia="zh-CN"/>
              </w:rPr>
            </w:pPr>
            <w:r>
              <w:rPr>
                <w:rFonts w:hint="eastAsia" w:ascii="仿宋_GB2312" w:hAnsi="仿宋_GB2312" w:eastAsia="仿宋_GB2312" w:cs="仿宋_GB2312"/>
                <w:color w:val="auto"/>
                <w:kern w:val="0"/>
                <w:sz w:val="24"/>
                <w:lang w:val="en-US" w:eastAsia="zh-CN"/>
              </w:rPr>
              <w:t>4、项目相关案例、业绩等；</w:t>
            </w:r>
          </w:p>
          <w:p>
            <w:pPr>
              <w:widowControl/>
              <w:spacing w:line="240" w:lineRule="auto"/>
              <w:ind w:firstLine="0" w:firstLineChars="0"/>
              <w:jc w:val="left"/>
              <w:rPr>
                <w:rFonts w:hint="eastAsia" w:ascii="仿宋_GB2312" w:hAnsi="仿宋_GB2312" w:eastAsia="仿宋_GB2312" w:cs="仿宋_GB2312"/>
                <w:color w:val="auto"/>
                <w:kern w:val="0"/>
                <w:sz w:val="24"/>
                <w:lang w:val="en-US" w:eastAsia="zh-CN"/>
              </w:rPr>
            </w:pPr>
            <w:r>
              <w:rPr>
                <w:rFonts w:hint="eastAsia" w:ascii="仿宋_GB2312" w:hAnsi="仿宋_GB2312" w:eastAsia="仿宋_GB2312" w:cs="仿宋_GB2312"/>
                <w:color w:val="auto"/>
                <w:kern w:val="0"/>
                <w:sz w:val="24"/>
                <w:lang w:val="en-US" w:eastAsia="zh-CN"/>
              </w:rPr>
              <w:t>5、近三年内无行贿犯罪记录、无重大违法经营记录的声明和不存在处于被禁止参与政府采购活动期限内情形的声明函（声明函格式自拟）；</w:t>
            </w:r>
          </w:p>
          <w:p>
            <w:pPr>
              <w:widowControl/>
              <w:spacing w:line="240" w:lineRule="auto"/>
              <w:ind w:firstLine="0" w:firstLineChars="0"/>
              <w:jc w:val="left"/>
              <w:rPr>
                <w:rFonts w:hint="eastAsia" w:ascii="仿宋_GB2312" w:hAnsi="仿宋_GB2312" w:eastAsia="仿宋_GB2312" w:cs="仿宋_GB2312"/>
                <w:color w:val="auto"/>
                <w:kern w:val="0"/>
                <w:sz w:val="24"/>
                <w:lang w:val="en-US" w:eastAsia="zh-CN"/>
              </w:rPr>
            </w:pPr>
            <w:r>
              <w:rPr>
                <w:rFonts w:hint="eastAsia" w:ascii="仿宋_GB2312" w:hAnsi="仿宋_GB2312" w:eastAsia="仿宋_GB2312" w:cs="仿宋_GB2312"/>
                <w:color w:val="auto"/>
                <w:kern w:val="0"/>
                <w:sz w:val="24"/>
                <w:lang w:val="en-US" w:eastAsia="zh-CN"/>
              </w:rPr>
              <w:t>6、可体现投标人综合实力及运营管理能力的其他资料。</w:t>
            </w:r>
          </w:p>
          <w:p>
            <w:pPr>
              <w:pStyle w:val="2"/>
              <w:ind w:left="0" w:leftChars="0" w:firstLine="0" w:firstLineChars="0"/>
              <w:rPr>
                <w:color w:val="auto"/>
              </w:rPr>
            </w:pPr>
            <w:r>
              <w:rPr>
                <w:rFonts w:hint="eastAsia" w:ascii="仿宋_GB2312" w:hAnsi="仿宋_GB2312" w:eastAsia="仿宋_GB2312" w:cs="仿宋_GB2312"/>
                <w:color w:val="auto"/>
                <w:kern w:val="0"/>
                <w:sz w:val="24"/>
                <w:lang w:val="en-US" w:eastAsia="zh-CN"/>
              </w:rPr>
              <w:t>以上文件均需每页加盖单位公章并装订成册，且应将资料密封存入不透明文件袋中，贴密封条并加盖公章，否则视为无效投标。</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auto"/>
          <w:sz w:val="32"/>
          <w:szCs w:val="32"/>
          <w:lang w:val="en-US" w:eastAsia="zh-CN"/>
        </w:rPr>
      </w:pPr>
    </w:p>
    <w:p>
      <w:pPr>
        <w:rPr>
          <w:color w:val="auto"/>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wZTcxOGRmZTBkZDFlNDA3NmY3MjQxMDQwZjljYjQifQ=="/>
  </w:docVars>
  <w:rsids>
    <w:rsidRoot w:val="7613371B"/>
    <w:rsid w:val="017D31AE"/>
    <w:rsid w:val="04AC5B58"/>
    <w:rsid w:val="12525F91"/>
    <w:rsid w:val="3AF13CEA"/>
    <w:rsid w:val="3D9267FC"/>
    <w:rsid w:val="51CC4461"/>
    <w:rsid w:val="53AC23C1"/>
    <w:rsid w:val="5BD32A03"/>
    <w:rsid w:val="68362003"/>
    <w:rsid w:val="761337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2024-02-19T08:25:00Z</dcterms:created>
  <dc:creator>WPS_229139555</dc:creator>
  <cp:lastModifiedBy>WPS_229139555</cp:lastModifiedBy>
  <dcterms:modified xsi:type="dcterms:W3CDTF">2024-02-20T02:05:09Z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53EDDB0349604FCA8E484EDDE4C85E70</vt:lpwstr>
  </property>
</Properties>
</file>