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eastAsia="zh-CN"/>
        </w:rPr>
      </w:pPr>
      <w:bookmarkStart w:id="0" w:name="_GoBack"/>
      <w:bookmarkEnd w:id="0"/>
      <w:r>
        <w:rPr>
          <w:sz w:val="21"/>
        </w:rPr>
        <mc:AlternateContent>
          <mc:Choice Requires="wps">
            <w:drawing>
              <wp:anchor distT="0" distB="0" distL="114300" distR="114300" simplePos="0" relativeHeight="251659264" behindDoc="1" locked="0" layoutInCell="1" allowOverlap="1">
                <wp:simplePos x="0" y="0"/>
                <wp:positionH relativeFrom="column">
                  <wp:posOffset>-194945</wp:posOffset>
                </wp:positionH>
                <wp:positionV relativeFrom="paragraph">
                  <wp:posOffset>30480</wp:posOffset>
                </wp:positionV>
                <wp:extent cx="6313170" cy="8281035"/>
                <wp:effectExtent l="0" t="0" r="0" b="0"/>
                <wp:wrapNone/>
                <wp:docPr id="11" name="文本框 2"/>
                <wp:cNvGraphicFramePr/>
                <a:graphic xmlns:a="http://schemas.openxmlformats.org/drawingml/2006/main">
                  <a:graphicData uri="http://schemas.microsoft.com/office/word/2010/wordprocessingShape">
                    <wps:wsp>
                      <wps:cNvSpPr txBox="1"/>
                      <wps:spPr>
                        <a:xfrm>
                          <a:off x="630555" y="1091565"/>
                          <a:ext cx="6313170" cy="82810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Bdr>
                                <w:top w:val="none" w:color="auto" w:sz="0" w:space="0"/>
                                <w:left w:val="none" w:color="auto" w:sz="0" w:space="0"/>
                                <w:bottom w:val="none" w:color="auto" w:sz="0" w:space="0"/>
                                <w:right w:val="none" w:color="auto" w:sz="0" w:space="0"/>
                                <w:between w:val="none" w:color="auto" w:sz="0" w:space="0"/>
                              </w:pBdr>
                              <w:spacing w:line="420" w:lineRule="exact"/>
                              <w:jc w:val="both"/>
                              <w:rPr>
                                <w:rFonts w:hint="eastAsia" w:ascii="黑体" w:hAnsi="黑体" w:eastAsia="黑体" w:cs="黑体"/>
                                <w:color w:val="000000"/>
                                <w:sz w:val="28"/>
                                <w:szCs w:val="28"/>
                              </w:rPr>
                            </w:pPr>
                          </w:p>
                          <w:p>
                            <w:pPr>
                              <w:pBdr>
                                <w:top w:val="none" w:color="auto" w:sz="0" w:space="0"/>
                                <w:left w:val="none" w:color="auto" w:sz="0" w:space="0"/>
                                <w:bottom w:val="none" w:color="auto" w:sz="0" w:space="0"/>
                                <w:right w:val="none" w:color="auto" w:sz="0" w:space="0"/>
                                <w:between w:val="none" w:color="auto" w:sz="0" w:space="0"/>
                              </w:pBdr>
                              <w:spacing w:line="420" w:lineRule="exact"/>
                              <w:jc w:val="center"/>
                              <w:outlineLvl w:val="0"/>
                              <w:rPr>
                                <w:rFonts w:hint="eastAsia" w:ascii="黑体" w:hAnsi="黑体" w:eastAsia="黑体" w:cs="黑体"/>
                                <w:color w:val="000000"/>
                                <w:sz w:val="28"/>
                                <w:szCs w:val="28"/>
                                <w:lang w:eastAsia="zh-CN"/>
                              </w:rPr>
                            </w:pPr>
                            <w:r>
                              <w:rPr>
                                <w:rFonts w:hint="eastAsia" w:ascii="黑体" w:hAnsi="黑体" w:eastAsia="黑体" w:cs="黑体"/>
                                <w:color w:val="000000"/>
                                <w:sz w:val="28"/>
                                <w:szCs w:val="28"/>
                              </w:rPr>
                              <w:t>中共深圳市福田区委</w:t>
                            </w:r>
                            <w:r>
                              <w:rPr>
                                <w:rFonts w:hint="eastAsia" w:ascii="黑体" w:hAnsi="黑体" w:eastAsia="黑体" w:cs="黑体"/>
                                <w:color w:val="000000"/>
                                <w:sz w:val="28"/>
                                <w:szCs w:val="28"/>
                                <w:lang w:eastAsia="zh-CN"/>
                              </w:rPr>
                              <w:t>机构编制委员会办公室</w:t>
                            </w:r>
                          </w:p>
                          <w:p>
                            <w:pPr>
                              <w:pBdr>
                                <w:top w:val="none" w:color="auto" w:sz="0" w:space="0"/>
                                <w:left w:val="none" w:color="auto" w:sz="0" w:space="0"/>
                                <w:bottom w:val="none" w:color="auto" w:sz="0" w:space="0"/>
                                <w:right w:val="none" w:color="auto" w:sz="0" w:space="0"/>
                                <w:between w:val="none" w:color="auto" w:sz="0" w:space="0"/>
                              </w:pBdr>
                              <w:spacing w:line="420" w:lineRule="exact"/>
                              <w:jc w:val="center"/>
                              <w:outlineLvl w:val="0"/>
                              <w:rPr>
                                <w:rFonts w:ascii="黑体" w:hAnsi="黑体" w:eastAsia="黑体" w:cs="黑体"/>
                                <w:color w:val="000000"/>
                                <w:sz w:val="28"/>
                                <w:szCs w:val="28"/>
                              </w:rPr>
                            </w:pPr>
                            <w:r>
                              <w:rPr>
                                <w:rFonts w:hint="eastAsia" w:ascii="黑体" w:hAnsi="黑体" w:eastAsia="黑体" w:cs="黑体"/>
                                <w:color w:val="000000"/>
                                <w:sz w:val="28"/>
                                <w:szCs w:val="28"/>
                                <w:lang w:eastAsia="zh-CN"/>
                              </w:rPr>
                              <w:t>202</w:t>
                            </w:r>
                            <w:r>
                              <w:rPr>
                                <w:rFonts w:hint="eastAsia" w:ascii="黑体" w:hAnsi="黑体" w:eastAsia="黑体" w:cs="黑体"/>
                                <w:color w:val="000000"/>
                                <w:sz w:val="28"/>
                                <w:szCs w:val="28"/>
                                <w:lang w:val="en-US" w:eastAsia="zh-CN"/>
                              </w:rPr>
                              <w:t>4</w:t>
                            </w:r>
                            <w:r>
                              <w:rPr>
                                <w:rFonts w:hint="eastAsia" w:ascii="黑体" w:hAnsi="黑体" w:eastAsia="黑体" w:cs="黑体"/>
                                <w:color w:val="000000"/>
                                <w:sz w:val="28"/>
                                <w:szCs w:val="28"/>
                              </w:rPr>
                              <w:t>年“三公”经费财政拨款预算情况</w:t>
                            </w:r>
                          </w:p>
                          <w:p>
                            <w:pPr>
                              <w:shd w:val="solid" w:color="FFFFFF" w:fill="auto"/>
                              <w:overflowPunct w:val="0"/>
                              <w:autoSpaceDN w:val="0"/>
                              <w:spacing w:line="420" w:lineRule="exact"/>
                              <w:ind w:firstLine="422" w:firstLineChars="200"/>
                              <w:jc w:val="left"/>
                              <w:rPr>
                                <w:rFonts w:ascii="Times New Roman" w:hAnsi="Times New Roman" w:eastAsia="宋体" w:cs="Times New Roman"/>
                                <w:b/>
                                <w:bCs/>
                                <w:color w:val="000000"/>
                                <w:kern w:val="2"/>
                                <w:sz w:val="21"/>
                                <w:szCs w:val="20"/>
                              </w:rPr>
                            </w:pPr>
                          </w:p>
                          <w:p>
                            <w:pPr>
                              <w:shd w:val="solid" w:color="FFFFFF" w:fill="auto"/>
                              <w:overflowPunct w:val="0"/>
                              <w:autoSpaceDN w:val="0"/>
                              <w:spacing w:line="420" w:lineRule="exact"/>
                              <w:ind w:firstLine="422" w:firstLineChars="200"/>
                              <w:jc w:val="left"/>
                              <w:rPr>
                                <w:rFonts w:ascii="Times New Roman" w:hAnsi="Times New Roman" w:eastAsia="宋体" w:cs="Times New Roman"/>
                                <w:color w:val="000000"/>
                                <w:kern w:val="2"/>
                                <w:sz w:val="21"/>
                                <w:szCs w:val="20"/>
                                <w:shd w:val="clear" w:color="auto" w:fill="FFFFFF"/>
                              </w:rPr>
                            </w:pPr>
                            <w:r>
                              <w:rPr>
                                <w:rFonts w:ascii="Times New Roman" w:hAnsi="Times New Roman" w:eastAsia="宋体" w:cs="Times New Roman"/>
                                <w:b/>
                                <w:bCs/>
                                <w:color w:val="000000"/>
                                <w:kern w:val="2"/>
                                <w:sz w:val="21"/>
                                <w:szCs w:val="20"/>
                              </w:rPr>
                              <w:t>一、“三公”经费的单位范围</w:t>
                            </w:r>
                            <w:r>
                              <w:rPr>
                                <w:rFonts w:ascii="Times New Roman" w:hAnsi="Times New Roman" w:eastAsia="宋体" w:cs="Times New Roman"/>
                                <w:color w:val="000000"/>
                                <w:kern w:val="2"/>
                                <w:sz w:val="21"/>
                                <w:szCs w:val="20"/>
                              </w:rPr>
                              <w:br w:type="textWrapping"/>
                            </w:r>
                            <w:r>
                              <w:rPr>
                                <w:rFonts w:ascii="Times New Roman" w:hAnsi="Times New Roman" w:eastAsia="宋体" w:cs="Times New Roman"/>
                                <w:color w:val="000000"/>
                                <w:kern w:val="2"/>
                                <w:sz w:val="21"/>
                                <w:szCs w:val="20"/>
                              </w:rPr>
                              <w:t xml:space="preserve">    </w:t>
                            </w:r>
                            <w:r>
                              <w:rPr>
                                <w:rFonts w:ascii="Times New Roman" w:hAnsi="Times New Roman" w:eastAsia="宋体" w:cs="Times New Roman"/>
                                <w:color w:val="000000"/>
                                <w:kern w:val="2"/>
                                <w:sz w:val="21"/>
                                <w:szCs w:val="21"/>
                              </w:rPr>
                              <w:t>中共深圳市福田区委</w:t>
                            </w:r>
                            <w:r>
                              <w:rPr>
                                <w:rFonts w:hint="eastAsia" w:cs="Times New Roman"/>
                                <w:color w:val="000000"/>
                                <w:kern w:val="2"/>
                                <w:sz w:val="21"/>
                                <w:szCs w:val="21"/>
                                <w:lang w:eastAsia="zh-CN"/>
                              </w:rPr>
                              <w:t>编制委员会办公室</w:t>
                            </w:r>
                            <w:r>
                              <w:rPr>
                                <w:rFonts w:ascii="Times New Roman" w:hAnsi="Times New Roman" w:eastAsia="宋体" w:cs="Times New Roman"/>
                                <w:color w:val="000000"/>
                                <w:kern w:val="2"/>
                                <w:sz w:val="21"/>
                                <w:szCs w:val="20"/>
                              </w:rPr>
                              <w:t>因公出国（境）费用、公务接待费、公务用车购置和运行维护费开支</w:t>
                            </w:r>
                            <w:r>
                              <w:rPr>
                                <w:rFonts w:ascii="Times New Roman" w:hAnsi="Times New Roman" w:eastAsia="宋体" w:cs="Times New Roman"/>
                                <w:color w:val="000000"/>
                                <w:kern w:val="2"/>
                                <w:sz w:val="21"/>
                                <w:szCs w:val="21"/>
                              </w:rPr>
                              <w:t>。</w:t>
                            </w:r>
                            <w:r>
                              <w:rPr>
                                <w:rFonts w:ascii="Times New Roman" w:hAnsi="Times New Roman" w:eastAsia="宋体" w:cs="Times New Roman"/>
                                <w:color w:val="000000"/>
                                <w:kern w:val="2"/>
                                <w:sz w:val="21"/>
                                <w:szCs w:val="20"/>
                              </w:rPr>
                              <w:br w:type="textWrapping"/>
                            </w:r>
                            <w:r>
                              <w:rPr>
                                <w:rFonts w:ascii="Times New Roman" w:hAnsi="Times New Roman" w:eastAsia="宋体" w:cs="Times New Roman"/>
                                <w:color w:val="000000"/>
                                <w:kern w:val="2"/>
                                <w:sz w:val="21"/>
                                <w:szCs w:val="20"/>
                              </w:rPr>
                              <w:t xml:space="preserve"> </w:t>
                            </w:r>
                            <w:r>
                              <w:rPr>
                                <w:rFonts w:ascii="Times New Roman" w:hAnsi="Times New Roman" w:eastAsia="宋体" w:cs="Times New Roman"/>
                                <w:b/>
                                <w:bCs/>
                                <w:color w:val="000000"/>
                                <w:kern w:val="2"/>
                                <w:sz w:val="21"/>
                                <w:szCs w:val="20"/>
                              </w:rPr>
                              <w:t xml:space="preserve">   二、“三公”经费预算情况说明</w:t>
                            </w:r>
                            <w:r>
                              <w:rPr>
                                <w:rFonts w:ascii="Times New Roman" w:hAnsi="Times New Roman" w:eastAsia="宋体" w:cs="Times New Roman"/>
                                <w:color w:val="000000"/>
                                <w:kern w:val="2"/>
                                <w:sz w:val="21"/>
                                <w:szCs w:val="20"/>
                              </w:rPr>
                              <w:br w:type="textWrapping"/>
                            </w:r>
                            <w:r>
                              <w:rPr>
                                <w:rFonts w:ascii="Times New Roman" w:hAnsi="Times New Roman" w:eastAsia="宋体" w:cs="Times New Roman"/>
                                <w:color w:val="000000"/>
                                <w:kern w:val="2"/>
                                <w:sz w:val="21"/>
                                <w:szCs w:val="20"/>
                              </w:rPr>
                              <w:t xml:space="preserve">    </w:t>
                            </w:r>
                            <w:r>
                              <w:rPr>
                                <w:rFonts w:hint="eastAsia" w:ascii="Times New Roman" w:hAnsi="Times New Roman" w:eastAsia="宋体" w:cs="Times New Roman"/>
                                <w:color w:val="000000"/>
                                <w:kern w:val="2"/>
                                <w:sz w:val="21"/>
                                <w:szCs w:val="21"/>
                                <w:lang w:eastAsia="zh-CN"/>
                              </w:rPr>
                              <w:t>2024</w:t>
                            </w:r>
                            <w:r>
                              <w:rPr>
                                <w:rFonts w:ascii="Times New Roman" w:hAnsi="Times New Roman" w:eastAsia="宋体" w:cs="Times New Roman"/>
                                <w:color w:val="000000"/>
                                <w:kern w:val="2"/>
                                <w:sz w:val="21"/>
                                <w:szCs w:val="20"/>
                              </w:rPr>
                              <w:t>年“三公”经费预算</w:t>
                            </w:r>
                            <w:r>
                              <w:rPr>
                                <w:rFonts w:hint="eastAsia" w:ascii="Times New Roman" w:hAnsi="Times New Roman" w:eastAsia="宋体" w:cs="Times New Roman"/>
                                <w:color w:val="000000"/>
                                <w:kern w:val="2"/>
                                <w:sz w:val="21"/>
                                <w:szCs w:val="20"/>
                                <w:lang w:val="en-US" w:eastAsia="zh-CN"/>
                              </w:rPr>
                              <w:t>2.4</w:t>
                            </w:r>
                            <w:r>
                              <w:rPr>
                                <w:rFonts w:ascii="Times New Roman" w:hAnsi="Times New Roman" w:eastAsia="宋体" w:cs="Times New Roman"/>
                                <w:color w:val="000000"/>
                                <w:kern w:val="2"/>
                                <w:sz w:val="21"/>
                                <w:szCs w:val="20"/>
                              </w:rPr>
                              <w:t>万元，</w:t>
                            </w:r>
                            <w:r>
                              <w:rPr>
                                <w:rFonts w:ascii="Times New Roman" w:hAnsi="Times New Roman" w:eastAsia="宋体" w:cs="Times New Roman"/>
                                <w:bCs/>
                                <w:color w:val="000000"/>
                                <w:kern w:val="2"/>
                                <w:sz w:val="21"/>
                                <w:szCs w:val="21"/>
                              </w:rPr>
                              <w:t>与</w:t>
                            </w:r>
                            <w:r>
                              <w:rPr>
                                <w:rFonts w:hint="eastAsia" w:ascii="Times New Roman" w:hAnsi="Times New Roman" w:eastAsia="宋体" w:cs="Times New Roman"/>
                                <w:bCs/>
                                <w:color w:val="000000"/>
                                <w:kern w:val="2"/>
                                <w:sz w:val="21"/>
                                <w:szCs w:val="21"/>
                                <w:lang w:eastAsia="zh-CN"/>
                              </w:rPr>
                              <w:t>2023</w:t>
                            </w:r>
                            <w:r>
                              <w:rPr>
                                <w:rFonts w:ascii="Times New Roman" w:hAnsi="Times New Roman" w:eastAsia="宋体" w:cs="Times New Roman"/>
                                <w:bCs/>
                                <w:color w:val="000000"/>
                                <w:kern w:val="2"/>
                                <w:sz w:val="21"/>
                                <w:szCs w:val="21"/>
                              </w:rPr>
                              <w:t>年“三公”经费预算数相比</w:t>
                            </w:r>
                            <w:r>
                              <w:rPr>
                                <w:rFonts w:hint="eastAsia" w:cs="Times New Roman"/>
                                <w:bCs/>
                                <w:color w:val="000000"/>
                                <w:kern w:val="2"/>
                                <w:sz w:val="21"/>
                                <w:szCs w:val="21"/>
                                <w:lang w:val="en-US" w:eastAsia="zh-CN"/>
                              </w:rPr>
                              <w:t>减少1万元</w:t>
                            </w:r>
                            <w:r>
                              <w:rPr>
                                <w:rFonts w:ascii="Times New Roman" w:hAnsi="Times New Roman" w:eastAsia="宋体" w:cs="Times New Roman"/>
                                <w:color w:val="000000"/>
                                <w:kern w:val="2"/>
                                <w:sz w:val="21"/>
                                <w:szCs w:val="20"/>
                              </w:rPr>
                              <w:t>。</w:t>
                            </w:r>
                            <w:r>
                              <w:rPr>
                                <w:rFonts w:ascii="Times New Roman" w:hAnsi="Times New Roman" w:eastAsia="宋体" w:cs="Times New Roman"/>
                                <w:color w:val="000000"/>
                                <w:kern w:val="2"/>
                                <w:sz w:val="21"/>
                                <w:szCs w:val="20"/>
                              </w:rPr>
                              <w:br w:type="textWrapping"/>
                            </w:r>
                            <w:r>
                              <w:rPr>
                                <w:rFonts w:ascii="Times New Roman" w:hAnsi="Times New Roman" w:eastAsia="宋体" w:cs="Times New Roman"/>
                                <w:color w:val="000000"/>
                                <w:kern w:val="2"/>
                                <w:sz w:val="21"/>
                                <w:szCs w:val="20"/>
                              </w:rPr>
                              <w:t xml:space="preserve">   </w:t>
                            </w:r>
                            <w:r>
                              <w:rPr>
                                <w:rFonts w:ascii="Times New Roman" w:hAnsi="Times New Roman" w:eastAsia="宋体" w:cs="Times New Roman"/>
                                <w:color w:val="000000"/>
                                <w:kern w:val="2"/>
                                <w:sz w:val="21"/>
                                <w:szCs w:val="20"/>
                                <w:shd w:val="clear" w:color="auto" w:fill="FFFFFF"/>
                              </w:rPr>
                              <w:t xml:space="preserve"> </w:t>
                            </w:r>
                            <w:r>
                              <w:rPr>
                                <w:rFonts w:hint="eastAsia" w:ascii="Times New Roman" w:hAnsi="Times New Roman" w:eastAsia="宋体" w:cs="Times New Roman"/>
                                <w:color w:val="000000"/>
                                <w:kern w:val="2"/>
                                <w:sz w:val="21"/>
                                <w:szCs w:val="20"/>
                                <w:shd w:val="clear" w:color="auto" w:fill="FFFFFF"/>
                              </w:rPr>
                              <w:t>（一）</w:t>
                            </w:r>
                            <w:r>
                              <w:rPr>
                                <w:rFonts w:ascii="Times New Roman" w:hAnsi="Times New Roman" w:eastAsia="宋体" w:cs="Times New Roman"/>
                                <w:color w:val="000000"/>
                                <w:kern w:val="2"/>
                                <w:sz w:val="21"/>
                                <w:szCs w:val="20"/>
                              </w:rPr>
                              <w:t>因公出国（境）费用。</w:t>
                            </w:r>
                            <w:r>
                              <w:rPr>
                                <w:rFonts w:hint="eastAsia" w:ascii="Times New Roman" w:hAnsi="Times New Roman" w:eastAsia="宋体" w:cs="Times New Roman"/>
                                <w:color w:val="000000"/>
                                <w:kern w:val="2"/>
                                <w:sz w:val="21"/>
                                <w:szCs w:val="21"/>
                                <w:lang w:eastAsia="zh-CN"/>
                              </w:rPr>
                              <w:t>2024</w:t>
                            </w:r>
                            <w:r>
                              <w:rPr>
                                <w:rFonts w:ascii="Times New Roman" w:hAnsi="Times New Roman" w:eastAsia="宋体" w:cs="Times New Roman"/>
                                <w:color w:val="000000"/>
                                <w:kern w:val="2"/>
                                <w:sz w:val="21"/>
                                <w:szCs w:val="20"/>
                              </w:rPr>
                              <w:t>年预算数0万元。</w:t>
                            </w:r>
                            <w:r>
                              <w:rPr>
                                <w:rFonts w:ascii="Times New Roman" w:hAnsi="Times New Roman" w:eastAsia="宋体" w:cs="Times New Roman"/>
                                <w:color w:val="000000"/>
                                <w:kern w:val="2"/>
                                <w:sz w:val="21"/>
                                <w:szCs w:val="20"/>
                                <w:shd w:val="clear" w:color="auto" w:fill="FFFFFF"/>
                              </w:rPr>
                              <w:t>为进一步规范因公出国（境）经费管理，我区因公出国（境）经费完全按零基预算的原则根据区因公出国计划预审会议审定计划动态调配使用，因此各单位</w:t>
                            </w:r>
                            <w:r>
                              <w:rPr>
                                <w:rFonts w:hint="eastAsia" w:ascii="Times New Roman" w:hAnsi="Times New Roman" w:eastAsia="宋体" w:cs="Times New Roman"/>
                                <w:color w:val="000000"/>
                                <w:kern w:val="2"/>
                                <w:sz w:val="21"/>
                                <w:szCs w:val="21"/>
                                <w:lang w:eastAsia="zh-CN"/>
                              </w:rPr>
                              <w:t>2024</w:t>
                            </w:r>
                            <w:r>
                              <w:rPr>
                                <w:rFonts w:ascii="Times New Roman" w:hAnsi="Times New Roman" w:eastAsia="宋体" w:cs="Times New Roman"/>
                                <w:color w:val="000000"/>
                                <w:kern w:val="2"/>
                                <w:sz w:val="21"/>
                                <w:szCs w:val="20"/>
                                <w:shd w:val="clear" w:color="auto" w:fill="FFFFFF"/>
                              </w:rPr>
                              <w:t>年因公出国（境）经费预算数为0.00万元，在实际执行中根据计划据实调配。</w:t>
                            </w:r>
                          </w:p>
                          <w:p>
                            <w:pPr>
                              <w:shd w:val="solid" w:color="FFFFFF" w:fill="auto"/>
                              <w:overflowPunct w:val="0"/>
                              <w:autoSpaceDN w:val="0"/>
                              <w:spacing w:line="420" w:lineRule="exact"/>
                              <w:ind w:firstLine="420" w:firstLineChars="200"/>
                              <w:rPr>
                                <w:rFonts w:ascii="Times New Roman" w:hAnsi="Times New Roman" w:eastAsia="宋体" w:cs="Times New Roman"/>
                                <w:bCs/>
                                <w:color w:val="000000"/>
                                <w:kern w:val="2"/>
                                <w:sz w:val="21"/>
                                <w:szCs w:val="20"/>
                              </w:rPr>
                            </w:pPr>
                            <w:r>
                              <w:rPr>
                                <w:rFonts w:hint="eastAsia" w:ascii="宋体" w:hAnsi="宋体" w:eastAsia="宋体" w:cs="宋体"/>
                                <w:color w:val="000000"/>
                                <w:kern w:val="2"/>
                                <w:sz w:val="21"/>
                                <w:szCs w:val="20"/>
                              </w:rPr>
                              <w:t>（二）</w:t>
                            </w:r>
                            <w:r>
                              <w:rPr>
                                <w:rFonts w:ascii="Times New Roman" w:hAnsi="Times New Roman" w:eastAsia="宋体" w:cs="Times New Roman"/>
                                <w:color w:val="000000"/>
                                <w:kern w:val="2"/>
                                <w:sz w:val="21"/>
                                <w:szCs w:val="20"/>
                              </w:rPr>
                              <w:t>公务接待费。</w:t>
                            </w:r>
                            <w:r>
                              <w:rPr>
                                <w:rFonts w:hint="eastAsia" w:ascii="Times New Roman" w:hAnsi="Times New Roman" w:eastAsia="宋体" w:cs="Times New Roman"/>
                                <w:color w:val="000000"/>
                                <w:kern w:val="2"/>
                                <w:sz w:val="21"/>
                                <w:szCs w:val="21"/>
                                <w:lang w:eastAsia="zh-CN"/>
                              </w:rPr>
                              <w:t>2024</w:t>
                            </w:r>
                            <w:r>
                              <w:rPr>
                                <w:rFonts w:ascii="Times New Roman" w:hAnsi="Times New Roman" w:eastAsia="宋体" w:cs="Times New Roman"/>
                                <w:color w:val="000000"/>
                                <w:kern w:val="2"/>
                                <w:sz w:val="21"/>
                                <w:szCs w:val="20"/>
                              </w:rPr>
                              <w:t>年预算数</w:t>
                            </w:r>
                            <w:r>
                              <w:rPr>
                                <w:rFonts w:hint="eastAsia" w:cs="Times New Roman"/>
                                <w:color w:val="000000"/>
                                <w:kern w:val="2"/>
                                <w:sz w:val="21"/>
                                <w:szCs w:val="21"/>
                                <w:lang w:val="en-US" w:eastAsia="zh-CN"/>
                              </w:rPr>
                              <w:t>0.4</w:t>
                            </w:r>
                            <w:r>
                              <w:rPr>
                                <w:rFonts w:ascii="Times New Roman" w:hAnsi="Times New Roman" w:eastAsia="宋体" w:cs="Times New Roman"/>
                                <w:color w:val="000000"/>
                                <w:kern w:val="2"/>
                                <w:sz w:val="21"/>
                                <w:szCs w:val="20"/>
                              </w:rPr>
                              <w:t>万元，</w:t>
                            </w:r>
                            <w:r>
                              <w:rPr>
                                <w:rFonts w:ascii="Times New Roman" w:hAnsi="Times New Roman" w:eastAsia="宋体" w:cs="Times New Roman"/>
                                <w:bCs/>
                                <w:color w:val="000000"/>
                                <w:kern w:val="2"/>
                                <w:sz w:val="21"/>
                                <w:szCs w:val="21"/>
                              </w:rPr>
                              <w:t>与</w:t>
                            </w:r>
                            <w:r>
                              <w:rPr>
                                <w:rFonts w:hint="eastAsia" w:ascii="Times New Roman" w:hAnsi="Times New Roman" w:eastAsia="宋体" w:cs="Times New Roman"/>
                                <w:bCs/>
                                <w:color w:val="000000"/>
                                <w:kern w:val="2"/>
                                <w:sz w:val="21"/>
                                <w:szCs w:val="21"/>
                                <w:lang w:eastAsia="zh-CN"/>
                              </w:rPr>
                              <w:t>2023</w:t>
                            </w:r>
                            <w:r>
                              <w:rPr>
                                <w:rFonts w:ascii="Times New Roman" w:hAnsi="Times New Roman" w:eastAsia="宋体" w:cs="Times New Roman"/>
                                <w:bCs/>
                                <w:color w:val="000000"/>
                                <w:kern w:val="2"/>
                                <w:sz w:val="21"/>
                                <w:szCs w:val="21"/>
                              </w:rPr>
                              <w:t>年预算数相比无变化</w:t>
                            </w:r>
                            <w:r>
                              <w:rPr>
                                <w:rFonts w:ascii="Times New Roman" w:hAnsi="Times New Roman" w:eastAsia="宋体" w:cs="Times New Roman"/>
                                <w:color w:val="000000"/>
                                <w:kern w:val="2"/>
                                <w:sz w:val="21"/>
                                <w:szCs w:val="20"/>
                              </w:rPr>
                              <w:t>。</w:t>
                            </w:r>
                            <w:r>
                              <w:rPr>
                                <w:rFonts w:ascii="Times New Roman" w:hAnsi="Times New Roman" w:eastAsia="宋体" w:cs="Times New Roman"/>
                                <w:bCs/>
                                <w:color w:val="000000"/>
                                <w:kern w:val="2"/>
                                <w:sz w:val="21"/>
                                <w:szCs w:val="21"/>
                              </w:rPr>
                              <w:t>主要用于日常接待市外各级各地人员来福田学习、考察、调研，按规定开支的各类公务接待支出。</w:t>
                            </w:r>
                          </w:p>
                          <w:p>
                            <w:pPr>
                              <w:shd w:val="solid" w:color="FFFFFF" w:fill="auto"/>
                              <w:overflowPunct w:val="0"/>
                              <w:autoSpaceDN w:val="0"/>
                              <w:spacing w:line="420" w:lineRule="exact"/>
                              <w:ind w:firstLine="420" w:firstLineChars="200"/>
                              <w:rPr>
                                <w:rFonts w:ascii="Times New Roman" w:hAnsi="Times New Roman" w:eastAsia="黑体" w:cs="Times New Roman"/>
                                <w:i/>
                                <w:iCs/>
                                <w:color w:val="000000"/>
                                <w:kern w:val="2"/>
                                <w:sz w:val="21"/>
                                <w:szCs w:val="20"/>
                                <w:u w:val="single"/>
                              </w:rPr>
                            </w:pPr>
                            <w:r>
                              <w:rPr>
                                <w:rFonts w:hint="eastAsia" w:ascii="宋体" w:hAnsi="宋体" w:eastAsia="宋体" w:cs="宋体"/>
                                <w:color w:val="000000"/>
                                <w:kern w:val="2"/>
                                <w:sz w:val="21"/>
                                <w:szCs w:val="20"/>
                              </w:rPr>
                              <w:t>（三）</w:t>
                            </w:r>
                            <w:r>
                              <w:rPr>
                                <w:rFonts w:ascii="Times New Roman" w:hAnsi="Times New Roman" w:eastAsia="宋体" w:cs="Times New Roman"/>
                                <w:color w:val="000000"/>
                                <w:kern w:val="2"/>
                                <w:sz w:val="21"/>
                                <w:szCs w:val="20"/>
                              </w:rPr>
                              <w:t>公务用车购置和运行维护费。</w:t>
                            </w:r>
                            <w:r>
                              <w:rPr>
                                <w:rFonts w:hint="eastAsia" w:ascii="Times New Roman" w:hAnsi="Times New Roman" w:eastAsia="宋体" w:cs="Times New Roman"/>
                                <w:color w:val="000000"/>
                                <w:kern w:val="2"/>
                                <w:sz w:val="21"/>
                                <w:szCs w:val="21"/>
                                <w:lang w:eastAsia="zh-CN"/>
                              </w:rPr>
                              <w:t>2024</w:t>
                            </w:r>
                            <w:r>
                              <w:rPr>
                                <w:rFonts w:ascii="Times New Roman" w:hAnsi="Times New Roman" w:eastAsia="宋体" w:cs="Times New Roman"/>
                                <w:color w:val="000000"/>
                                <w:kern w:val="2"/>
                                <w:sz w:val="21"/>
                                <w:szCs w:val="20"/>
                              </w:rPr>
                              <w:t>年预算数</w:t>
                            </w:r>
                            <w:r>
                              <w:rPr>
                                <w:rFonts w:hint="eastAsia" w:ascii="Times New Roman" w:hAnsi="Times New Roman" w:eastAsia="宋体" w:cs="Times New Roman"/>
                                <w:color w:val="000000"/>
                                <w:kern w:val="2"/>
                                <w:sz w:val="21"/>
                                <w:szCs w:val="20"/>
                                <w:lang w:val="en-US" w:eastAsia="zh-CN"/>
                              </w:rPr>
                              <w:t>2</w:t>
                            </w:r>
                            <w:r>
                              <w:rPr>
                                <w:rFonts w:ascii="Times New Roman" w:hAnsi="Times New Roman" w:eastAsia="宋体" w:cs="Times New Roman"/>
                                <w:color w:val="000000"/>
                                <w:kern w:val="2"/>
                                <w:sz w:val="21"/>
                                <w:szCs w:val="20"/>
                              </w:rPr>
                              <w:t>万元，其中：公务用车购置费</w:t>
                            </w:r>
                            <w:r>
                              <w:rPr>
                                <w:rFonts w:hint="eastAsia" w:ascii="Times New Roman" w:hAnsi="Times New Roman" w:eastAsia="宋体" w:cs="Times New Roman"/>
                                <w:color w:val="000000"/>
                                <w:kern w:val="2"/>
                                <w:sz w:val="21"/>
                                <w:szCs w:val="21"/>
                                <w:lang w:eastAsia="zh-CN"/>
                              </w:rPr>
                              <w:t>2024</w:t>
                            </w:r>
                            <w:r>
                              <w:rPr>
                                <w:rFonts w:ascii="Times New Roman" w:hAnsi="Times New Roman" w:eastAsia="宋体" w:cs="Times New Roman"/>
                                <w:color w:val="000000"/>
                                <w:kern w:val="2"/>
                                <w:sz w:val="21"/>
                                <w:szCs w:val="20"/>
                              </w:rPr>
                              <w:t>年预算数</w:t>
                            </w:r>
                            <w:r>
                              <w:rPr>
                                <w:rFonts w:ascii="Times New Roman" w:hAnsi="Times New Roman" w:eastAsia="宋体" w:cs="Times New Roman"/>
                                <w:color w:val="000000"/>
                                <w:kern w:val="2"/>
                                <w:sz w:val="21"/>
                                <w:szCs w:val="21"/>
                              </w:rPr>
                              <w:t>0.00</w:t>
                            </w:r>
                            <w:r>
                              <w:rPr>
                                <w:rFonts w:ascii="Times New Roman" w:hAnsi="Times New Roman" w:eastAsia="宋体" w:cs="Times New Roman"/>
                                <w:color w:val="000000"/>
                                <w:kern w:val="2"/>
                                <w:sz w:val="21"/>
                                <w:szCs w:val="20"/>
                              </w:rPr>
                              <w:t>万元，</w:t>
                            </w:r>
                            <w:r>
                              <w:rPr>
                                <w:rFonts w:ascii="Times New Roman" w:hAnsi="Times New Roman" w:eastAsia="宋体" w:cs="Times New Roman"/>
                                <w:bCs/>
                                <w:color w:val="000000"/>
                                <w:kern w:val="2"/>
                                <w:sz w:val="21"/>
                                <w:szCs w:val="21"/>
                              </w:rPr>
                              <w:t>与</w:t>
                            </w:r>
                            <w:r>
                              <w:rPr>
                                <w:rFonts w:hint="eastAsia" w:ascii="Times New Roman" w:hAnsi="Times New Roman" w:eastAsia="宋体" w:cs="Times New Roman"/>
                                <w:bCs/>
                                <w:color w:val="000000"/>
                                <w:kern w:val="2"/>
                                <w:sz w:val="21"/>
                                <w:szCs w:val="21"/>
                                <w:lang w:eastAsia="zh-CN"/>
                              </w:rPr>
                              <w:t>2023</w:t>
                            </w:r>
                            <w:r>
                              <w:rPr>
                                <w:rFonts w:ascii="Times New Roman" w:hAnsi="Times New Roman" w:eastAsia="宋体" w:cs="Times New Roman"/>
                                <w:bCs/>
                                <w:color w:val="000000"/>
                                <w:kern w:val="2"/>
                                <w:sz w:val="21"/>
                                <w:szCs w:val="21"/>
                              </w:rPr>
                              <w:t>年预算数相比无变化</w:t>
                            </w:r>
                            <w:r>
                              <w:rPr>
                                <w:rFonts w:ascii="Times New Roman" w:hAnsi="Times New Roman" w:eastAsia="宋体" w:cs="Times New Roman"/>
                                <w:color w:val="000000"/>
                                <w:kern w:val="2"/>
                                <w:sz w:val="21"/>
                                <w:szCs w:val="20"/>
                              </w:rPr>
                              <w:t>；公务用车运行维护费</w:t>
                            </w:r>
                            <w:r>
                              <w:rPr>
                                <w:rFonts w:hint="eastAsia" w:ascii="Times New Roman" w:hAnsi="Times New Roman" w:eastAsia="宋体" w:cs="Times New Roman"/>
                                <w:color w:val="000000"/>
                                <w:kern w:val="2"/>
                                <w:sz w:val="21"/>
                                <w:szCs w:val="21"/>
                                <w:lang w:eastAsia="zh-CN"/>
                              </w:rPr>
                              <w:t>2024</w:t>
                            </w:r>
                            <w:r>
                              <w:rPr>
                                <w:rFonts w:ascii="Times New Roman" w:hAnsi="Times New Roman" w:eastAsia="宋体" w:cs="Times New Roman"/>
                                <w:color w:val="000000"/>
                                <w:kern w:val="2"/>
                                <w:sz w:val="21"/>
                                <w:szCs w:val="20"/>
                              </w:rPr>
                              <w:t>年预算数</w:t>
                            </w:r>
                            <w:r>
                              <w:rPr>
                                <w:rFonts w:hint="eastAsia" w:cs="Times New Roman"/>
                                <w:color w:val="000000"/>
                                <w:kern w:val="2"/>
                                <w:sz w:val="21"/>
                                <w:szCs w:val="21"/>
                                <w:lang w:val="en-US" w:eastAsia="zh-CN"/>
                              </w:rPr>
                              <w:t>2</w:t>
                            </w:r>
                            <w:r>
                              <w:rPr>
                                <w:rFonts w:ascii="Times New Roman" w:hAnsi="Times New Roman" w:eastAsia="宋体" w:cs="Times New Roman"/>
                                <w:color w:val="000000"/>
                                <w:kern w:val="2"/>
                                <w:sz w:val="21"/>
                                <w:szCs w:val="20"/>
                              </w:rPr>
                              <w:t>万元，</w:t>
                            </w:r>
                            <w:r>
                              <w:rPr>
                                <w:rFonts w:ascii="Times New Roman" w:hAnsi="Times New Roman" w:eastAsia="宋体" w:cs="Times New Roman"/>
                                <w:bCs/>
                                <w:color w:val="000000"/>
                                <w:kern w:val="2"/>
                                <w:sz w:val="21"/>
                                <w:szCs w:val="21"/>
                              </w:rPr>
                              <w:t>与</w:t>
                            </w:r>
                            <w:r>
                              <w:rPr>
                                <w:rFonts w:hint="eastAsia" w:ascii="Times New Roman" w:hAnsi="Times New Roman" w:eastAsia="宋体" w:cs="Times New Roman"/>
                                <w:bCs/>
                                <w:color w:val="000000"/>
                                <w:kern w:val="2"/>
                                <w:sz w:val="21"/>
                                <w:szCs w:val="21"/>
                                <w:lang w:eastAsia="zh-CN"/>
                              </w:rPr>
                              <w:t>2023</w:t>
                            </w:r>
                            <w:r>
                              <w:rPr>
                                <w:rFonts w:ascii="Times New Roman" w:hAnsi="Times New Roman" w:eastAsia="宋体" w:cs="Times New Roman"/>
                                <w:bCs/>
                                <w:color w:val="000000"/>
                                <w:kern w:val="2"/>
                                <w:sz w:val="21"/>
                                <w:szCs w:val="21"/>
                              </w:rPr>
                              <w:t>年预算数</w:t>
                            </w:r>
                            <w:r>
                              <w:rPr>
                                <w:rFonts w:hint="eastAsia" w:ascii="Times New Roman" w:hAnsi="Times New Roman" w:eastAsia="宋体" w:cs="Times New Roman"/>
                                <w:bCs/>
                                <w:color w:val="000000"/>
                                <w:kern w:val="2"/>
                                <w:sz w:val="21"/>
                                <w:szCs w:val="21"/>
                                <w:lang w:val="en-US" w:eastAsia="zh-CN"/>
                              </w:rPr>
                              <w:t>相比减少1万元</w:t>
                            </w:r>
                            <w:r>
                              <w:rPr>
                                <w:rFonts w:ascii="Times New Roman" w:hAnsi="Times New Roman" w:eastAsia="宋体" w:cs="Times New Roman"/>
                                <w:color w:val="000000"/>
                                <w:kern w:val="2"/>
                                <w:sz w:val="21"/>
                                <w:szCs w:val="20"/>
                              </w:rPr>
                              <w:t>。本单位共有车辆</w:t>
                            </w:r>
                            <w:r>
                              <w:rPr>
                                <w:rFonts w:hint="eastAsia" w:cs="Times New Roman"/>
                                <w:color w:val="000000"/>
                                <w:kern w:val="2"/>
                                <w:sz w:val="21"/>
                                <w:szCs w:val="20"/>
                                <w:lang w:val="en-US" w:eastAsia="zh-CN"/>
                              </w:rPr>
                              <w:t>1</w:t>
                            </w:r>
                            <w:r>
                              <w:rPr>
                                <w:rFonts w:ascii="Times New Roman" w:hAnsi="Times New Roman" w:eastAsia="宋体" w:cs="Times New Roman"/>
                                <w:color w:val="000000"/>
                                <w:kern w:val="2"/>
                                <w:sz w:val="21"/>
                                <w:szCs w:val="20"/>
                              </w:rPr>
                              <w:t>辆，为机要通信用车，都是本级所有。主要用于办理公务、机要通信、处置突发事件等业务活动开支的公务用车运行支出。</w:t>
                            </w:r>
                          </w:p>
                          <w:p>
                            <w:pPr>
                              <w:pBdr>
                                <w:top w:val="none" w:color="auto" w:sz="0" w:space="0"/>
                                <w:left w:val="none" w:color="auto" w:sz="0" w:space="0"/>
                                <w:bottom w:val="none" w:color="auto" w:sz="0" w:space="0"/>
                                <w:right w:val="none" w:color="auto" w:sz="0" w:space="0"/>
                                <w:between w:val="none" w:color="auto" w:sz="0" w:space="0"/>
                              </w:pBdr>
                              <w:jc w:val="both"/>
                              <w:rPr>
                                <w:rFonts w:hint="eastAsia" w:ascii="宋体" w:hAnsi="宋体" w:cs="宋体"/>
                                <w:color w:val="000000"/>
                                <w:sz w:val="20"/>
                                <w:szCs w:val="20"/>
                                <w:lang w:eastAsia="zh-CN"/>
                              </w:rPr>
                            </w:pPr>
                          </w:p>
                          <w:p>
                            <w:pPr>
                              <w:pBdr>
                                <w:top w:val="none" w:color="auto" w:sz="0" w:space="0"/>
                                <w:left w:val="none" w:color="auto" w:sz="0" w:space="0"/>
                                <w:bottom w:val="none" w:color="auto" w:sz="0" w:space="0"/>
                                <w:right w:val="none" w:color="auto" w:sz="0" w:space="0"/>
                                <w:between w:val="none" w:color="auto" w:sz="0" w:space="0"/>
                              </w:pBdr>
                              <w:jc w:val="both"/>
                              <w:outlineLvl w:val="0"/>
                              <w:rPr>
                                <w:rFonts w:hint="eastAsia" w:ascii="宋体" w:hAnsi="宋体" w:cs="宋体"/>
                                <w:color w:val="000000"/>
                                <w:sz w:val="20"/>
                                <w:szCs w:val="20"/>
                                <w:lang w:eastAsia="zh-CN"/>
                              </w:rPr>
                            </w:pPr>
                            <w:r>
                              <w:rPr>
                                <w:rFonts w:hint="eastAsia" w:ascii="宋体" w:hAnsi="宋体" w:cs="宋体"/>
                                <w:color w:val="000000"/>
                                <w:sz w:val="20"/>
                                <w:szCs w:val="20"/>
                                <w:lang w:eastAsia="zh-CN"/>
                              </w:rPr>
                              <w:t>附表：</w:t>
                            </w:r>
                          </w:p>
                          <w:p>
                            <w:pPr>
                              <w:pBdr>
                                <w:top w:val="none" w:color="auto" w:sz="0" w:space="0"/>
                                <w:left w:val="none" w:color="auto" w:sz="0" w:space="0"/>
                                <w:bottom w:val="none" w:color="auto" w:sz="0" w:space="0"/>
                                <w:right w:val="none" w:color="auto" w:sz="0" w:space="0"/>
                                <w:between w:val="none" w:color="auto" w:sz="0" w:space="0"/>
                              </w:pBdr>
                              <w:jc w:val="center"/>
                              <w:outlineLvl w:val="0"/>
                              <w:rPr>
                                <w:rFonts w:hint="eastAsia" w:ascii="宋体" w:hAnsi="宋体" w:cs="宋体"/>
                                <w:b/>
                                <w:bCs/>
                                <w:color w:val="000000"/>
                                <w:sz w:val="20"/>
                                <w:szCs w:val="20"/>
                              </w:rPr>
                            </w:pPr>
                            <w:r>
                              <w:rPr>
                                <w:rFonts w:hint="eastAsia" w:ascii="宋体" w:hAnsi="宋体" w:cs="宋体"/>
                                <w:b/>
                                <w:bCs/>
                                <w:color w:val="000000"/>
                                <w:sz w:val="20"/>
                                <w:szCs w:val="20"/>
                              </w:rPr>
                              <w:t>“三公”经费财政拨款预算情况表</w:t>
                            </w:r>
                          </w:p>
                          <w:tbl>
                            <w:tblPr>
                              <w:tblStyle w:val="4"/>
                              <w:tblW w:w="4998" w:type="pct"/>
                              <w:jc w:val="center"/>
                              <w:tblLayout w:type="autofit"/>
                              <w:tblCellMar>
                                <w:top w:w="0" w:type="dxa"/>
                                <w:left w:w="108" w:type="dxa"/>
                                <w:bottom w:w="0" w:type="dxa"/>
                                <w:right w:w="108" w:type="dxa"/>
                              </w:tblCellMar>
                            </w:tblPr>
                            <w:tblGrid>
                              <w:gridCol w:w="2776"/>
                              <w:gridCol w:w="1270"/>
                              <w:gridCol w:w="1439"/>
                              <w:gridCol w:w="869"/>
                              <w:gridCol w:w="826"/>
                              <w:gridCol w:w="917"/>
                              <w:gridCol w:w="814"/>
                              <w:gridCol w:w="945"/>
                            </w:tblGrid>
                            <w:tr>
                              <w:tblPrEx>
                                <w:tblCellMar>
                                  <w:top w:w="0" w:type="dxa"/>
                                  <w:left w:w="108" w:type="dxa"/>
                                  <w:bottom w:w="0" w:type="dxa"/>
                                  <w:right w:w="108" w:type="dxa"/>
                                </w:tblCellMar>
                              </w:tblPrEx>
                              <w:trPr>
                                <w:trHeight w:val="358" w:hRule="atLeast"/>
                                <w:jc w:val="center"/>
                              </w:trPr>
                              <w:tc>
                                <w:tcPr>
                                  <w:tcW w:w="4107" w:type="pct"/>
                                  <w:gridSpan w:val="6"/>
                                  <w:tcBorders>
                                    <w:top w:val="nil"/>
                                    <w:left w:val="nil"/>
                                    <w:bottom w:val="nil"/>
                                    <w:right w:val="nil"/>
                                  </w:tcBorders>
                                  <w:noWrap w:val="0"/>
                                  <w:vAlign w:val="center"/>
                                </w:tcPr>
                                <w:p>
                                  <w:pPr>
                                    <w:shd w:val="clear" w:color="auto" w:fill="auto"/>
                                    <w:overflowPunct w:val="0"/>
                                    <w:jc w:val="left"/>
                                    <w:rPr>
                                      <w:rFonts w:hint="eastAsia" w:ascii="Times New Roman" w:hAnsi="Times New Roman" w:eastAsia="宋体" w:cs="Times New Roman"/>
                                      <w:color w:val="000000"/>
                                      <w:kern w:val="2"/>
                                      <w:sz w:val="21"/>
                                      <w:szCs w:val="20"/>
                                      <w:lang w:eastAsia="zh-CN"/>
                                    </w:rPr>
                                  </w:pPr>
                                  <w:r>
                                    <w:rPr>
                                      <w:rFonts w:ascii="Times New Roman" w:hAnsi="Times New Roman" w:eastAsia="宋体" w:cs="Times New Roman"/>
                                      <w:color w:val="000000"/>
                                      <w:kern w:val="0"/>
                                      <w:sz w:val="21"/>
                                      <w:szCs w:val="20"/>
                                    </w:rPr>
                                    <w:t>单位名称:中共深圳市福田区委</w:t>
                                  </w:r>
                                  <w:r>
                                    <w:rPr>
                                      <w:rFonts w:hint="eastAsia" w:cs="Times New Roman"/>
                                      <w:color w:val="000000"/>
                                      <w:kern w:val="0"/>
                                      <w:sz w:val="21"/>
                                      <w:szCs w:val="20"/>
                                      <w:lang w:eastAsia="zh-CN"/>
                                    </w:rPr>
                                    <w:t>机构编制委员会办公室</w:t>
                                  </w:r>
                                </w:p>
                              </w:tc>
                              <w:tc>
                                <w:tcPr>
                                  <w:tcW w:w="892" w:type="pct"/>
                                  <w:gridSpan w:val="2"/>
                                  <w:tcBorders>
                                    <w:top w:val="nil"/>
                                    <w:left w:val="nil"/>
                                    <w:bottom w:val="nil"/>
                                    <w:right w:val="nil"/>
                                  </w:tcBorders>
                                  <w:noWrap w:val="0"/>
                                  <w:vAlign w:val="center"/>
                                </w:tcPr>
                                <w:p>
                                  <w:pPr>
                                    <w:shd w:val="clear" w:color="auto" w:fill="auto"/>
                                    <w:overflowPunct w:val="0"/>
                                    <w:jc w:val="right"/>
                                    <w:textAlignment w:val="center"/>
                                    <w:rPr>
                                      <w:rFonts w:ascii="Times New Roman" w:hAnsi="Times New Roman" w:eastAsia="宋体" w:cs="Times New Roman"/>
                                      <w:color w:val="000000"/>
                                      <w:kern w:val="2"/>
                                      <w:sz w:val="20"/>
                                      <w:szCs w:val="20"/>
                                    </w:rPr>
                                  </w:pPr>
                                  <w:r>
                                    <w:rPr>
                                      <w:rFonts w:ascii="Times New Roman" w:hAnsi="Times New Roman" w:eastAsia="宋体" w:cs="Times New Roman"/>
                                      <w:color w:val="000000"/>
                                      <w:kern w:val="0"/>
                                      <w:sz w:val="21"/>
                                      <w:szCs w:val="20"/>
                                    </w:rPr>
                                    <w:t>单位：万元</w:t>
                                  </w:r>
                                </w:p>
                              </w:tc>
                            </w:tr>
                            <w:tr>
                              <w:tblPrEx>
                                <w:tblCellMar>
                                  <w:top w:w="0" w:type="dxa"/>
                                  <w:left w:w="108" w:type="dxa"/>
                                  <w:bottom w:w="0" w:type="dxa"/>
                                  <w:right w:w="108" w:type="dxa"/>
                                </w:tblCellMar>
                              </w:tblPrEx>
                              <w:trPr>
                                <w:trHeight w:val="482" w:hRule="atLeast"/>
                                <w:jc w:val="center"/>
                              </w:trPr>
                              <w:tc>
                                <w:tcPr>
                                  <w:tcW w:w="1408" w:type="pct"/>
                                  <w:vMerge w:val="restar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预算单位</w:t>
                                  </w:r>
                                </w:p>
                              </w:tc>
                              <w:tc>
                                <w:tcPr>
                                  <w:tcW w:w="644" w:type="pct"/>
                                  <w:vMerge w:val="restar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年度</w:t>
                                  </w:r>
                                </w:p>
                              </w:tc>
                              <w:tc>
                                <w:tcPr>
                                  <w:tcW w:w="730" w:type="pct"/>
                                  <w:vMerge w:val="restar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“三公”经费财政拨款预算总额</w:t>
                                  </w:r>
                                </w:p>
                              </w:tc>
                              <w:tc>
                                <w:tcPr>
                                  <w:tcW w:w="441" w:type="pct"/>
                                  <w:vMerge w:val="restar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因公出国(境)费</w:t>
                                  </w:r>
                                </w:p>
                              </w:tc>
                              <w:tc>
                                <w:tcPr>
                                  <w:tcW w:w="419" w:type="pct"/>
                                  <w:vMerge w:val="restar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公务接待费</w:t>
                                  </w:r>
                                </w:p>
                              </w:tc>
                              <w:tc>
                                <w:tcPr>
                                  <w:tcW w:w="1356" w:type="pct"/>
                                  <w:gridSpan w:val="3"/>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0"/>
                                      <w:szCs w:val="20"/>
                                    </w:rPr>
                                  </w:pPr>
                                  <w:r>
                                    <w:rPr>
                                      <w:rFonts w:ascii="Times New Roman" w:hAnsi="Times New Roman" w:eastAsia="宋体" w:cs="Times New Roman"/>
                                      <w:color w:val="000000"/>
                                      <w:kern w:val="0"/>
                                      <w:sz w:val="21"/>
                                      <w:szCs w:val="20"/>
                                    </w:rPr>
                                    <w:t>公务用车购置及运行维护费</w:t>
                                  </w:r>
                                </w:p>
                              </w:tc>
                            </w:tr>
                            <w:tr>
                              <w:tblPrEx>
                                <w:tblCellMar>
                                  <w:top w:w="0" w:type="dxa"/>
                                  <w:left w:w="108" w:type="dxa"/>
                                  <w:bottom w:w="0" w:type="dxa"/>
                                  <w:right w:w="108" w:type="dxa"/>
                                </w:tblCellMar>
                              </w:tblPrEx>
                              <w:trPr>
                                <w:trHeight w:val="970" w:hRule="atLeast"/>
                                <w:jc w:val="center"/>
                              </w:trPr>
                              <w:tc>
                                <w:tcPr>
                                  <w:tcW w:w="1408" w:type="pct"/>
                                  <w:vMerge w:val="continue"/>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rPr>
                                      <w:rFonts w:ascii="Times New Roman" w:hAnsi="Times New Roman" w:eastAsia="宋体" w:cs="Times New Roman"/>
                                      <w:color w:val="000000"/>
                                      <w:kern w:val="2"/>
                                      <w:sz w:val="20"/>
                                      <w:szCs w:val="20"/>
                                    </w:rPr>
                                  </w:pPr>
                                </w:p>
                              </w:tc>
                              <w:tc>
                                <w:tcPr>
                                  <w:tcW w:w="644" w:type="pct"/>
                                  <w:vMerge w:val="continue"/>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rPr>
                                      <w:rFonts w:ascii="Times New Roman" w:hAnsi="Times New Roman" w:eastAsia="宋体" w:cs="Times New Roman"/>
                                      <w:color w:val="000000"/>
                                      <w:kern w:val="2"/>
                                      <w:sz w:val="20"/>
                                      <w:szCs w:val="20"/>
                                    </w:rPr>
                                  </w:pPr>
                                </w:p>
                              </w:tc>
                              <w:tc>
                                <w:tcPr>
                                  <w:tcW w:w="730" w:type="pct"/>
                                  <w:vMerge w:val="continue"/>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rPr>
                                      <w:rFonts w:ascii="Times New Roman" w:hAnsi="Times New Roman" w:eastAsia="宋体" w:cs="Times New Roman"/>
                                      <w:color w:val="000000"/>
                                      <w:kern w:val="2"/>
                                      <w:sz w:val="20"/>
                                      <w:szCs w:val="20"/>
                                    </w:rPr>
                                  </w:pPr>
                                </w:p>
                              </w:tc>
                              <w:tc>
                                <w:tcPr>
                                  <w:tcW w:w="441" w:type="pct"/>
                                  <w:vMerge w:val="continue"/>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rPr>
                                      <w:rFonts w:ascii="Times New Roman" w:hAnsi="Times New Roman" w:eastAsia="宋体" w:cs="Times New Roman"/>
                                      <w:color w:val="000000"/>
                                      <w:kern w:val="2"/>
                                      <w:sz w:val="20"/>
                                      <w:szCs w:val="20"/>
                                    </w:rPr>
                                  </w:pPr>
                                </w:p>
                              </w:tc>
                              <w:tc>
                                <w:tcPr>
                                  <w:tcW w:w="419" w:type="pct"/>
                                  <w:vMerge w:val="continue"/>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rPr>
                                      <w:rFonts w:ascii="Times New Roman" w:hAnsi="Times New Roman" w:eastAsia="宋体" w:cs="Times New Roman"/>
                                      <w:color w:val="000000"/>
                                      <w:kern w:val="2"/>
                                      <w:sz w:val="21"/>
                                      <w:szCs w:val="20"/>
                                    </w:rPr>
                                  </w:pPr>
                                </w:p>
                              </w:tc>
                              <w:tc>
                                <w:tcPr>
                                  <w:tcW w:w="464"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小计</w:t>
                                  </w:r>
                                </w:p>
                              </w:tc>
                              <w:tc>
                                <w:tcPr>
                                  <w:tcW w:w="413"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公务用车购置费</w:t>
                                  </w:r>
                                </w:p>
                              </w:tc>
                              <w:tc>
                                <w:tcPr>
                                  <w:tcW w:w="478"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0"/>
                                      <w:szCs w:val="20"/>
                                    </w:rPr>
                                  </w:pPr>
                                  <w:r>
                                    <w:rPr>
                                      <w:rFonts w:ascii="Times New Roman" w:hAnsi="Times New Roman" w:eastAsia="宋体" w:cs="Times New Roman"/>
                                      <w:color w:val="000000"/>
                                      <w:kern w:val="0"/>
                                      <w:sz w:val="21"/>
                                      <w:szCs w:val="20"/>
                                    </w:rPr>
                                    <w:t>公务用车运行维护费</w:t>
                                  </w:r>
                                </w:p>
                              </w:tc>
                            </w:tr>
                            <w:tr>
                              <w:tblPrEx>
                                <w:tblCellMar>
                                  <w:top w:w="0" w:type="dxa"/>
                                  <w:left w:w="108" w:type="dxa"/>
                                  <w:bottom w:w="0" w:type="dxa"/>
                                  <w:right w:w="108" w:type="dxa"/>
                                </w:tblCellMar>
                              </w:tblPrEx>
                              <w:trPr>
                                <w:trHeight w:val="650" w:hRule="atLeast"/>
                                <w:jc w:val="center"/>
                              </w:trPr>
                              <w:tc>
                                <w:tcPr>
                                  <w:tcW w:w="1408" w:type="pct"/>
                                  <w:vMerge w:val="restart"/>
                                  <w:tcBorders>
                                    <w:top w:val="nil"/>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中共深圳市福田区委</w:t>
                                  </w:r>
                                  <w:r>
                                    <w:rPr>
                                      <w:rFonts w:hint="eastAsia" w:cs="Times New Roman"/>
                                      <w:color w:val="000000"/>
                                      <w:kern w:val="0"/>
                                      <w:sz w:val="21"/>
                                      <w:szCs w:val="20"/>
                                      <w:lang w:eastAsia="zh-CN"/>
                                    </w:rPr>
                                    <w:t>编制委员会办公室</w:t>
                                  </w:r>
                                  <w:r>
                                    <w:rPr>
                                      <w:rFonts w:ascii="Times New Roman" w:hAnsi="Times New Roman" w:eastAsia="宋体" w:cs="Times New Roman"/>
                                      <w:color w:val="000000"/>
                                      <w:kern w:val="0"/>
                                      <w:sz w:val="21"/>
                                      <w:szCs w:val="20"/>
                                    </w:rPr>
                                    <w:t>（本级）</w:t>
                                  </w:r>
                                </w:p>
                              </w:tc>
                              <w:tc>
                                <w:tcPr>
                                  <w:tcW w:w="1270" w:type="dxa"/>
                                  <w:tcBorders>
                                    <w:top w:val="nil"/>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hint="eastAsia" w:ascii="Times New Roman" w:hAnsi="Times New Roman" w:eastAsia="宋体" w:cs="Times New Roman"/>
                                      <w:color w:val="000000"/>
                                      <w:kern w:val="0"/>
                                      <w:sz w:val="21"/>
                                      <w:szCs w:val="20"/>
                                      <w:lang w:eastAsia="zh-CN"/>
                                    </w:rPr>
                                    <w:t>2023</w:t>
                                  </w:r>
                                  <w:r>
                                    <w:rPr>
                                      <w:rFonts w:ascii="Times New Roman" w:hAnsi="Times New Roman" w:eastAsia="宋体" w:cs="Times New Roman"/>
                                      <w:color w:val="000000"/>
                                      <w:kern w:val="0"/>
                                      <w:sz w:val="21"/>
                                      <w:szCs w:val="20"/>
                                    </w:rPr>
                                    <w:t>年</w:t>
                                  </w:r>
                                </w:p>
                              </w:tc>
                              <w:tc>
                                <w:tcPr>
                                  <w:tcW w:w="1439" w:type="dxa"/>
                                  <w:tcBorders>
                                    <w:top w:val="nil"/>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hint="default" w:ascii="Times New Roman" w:hAnsi="Times New Roman" w:eastAsia="宋体" w:cs="Times New Roman"/>
                                      <w:color w:val="000000"/>
                                      <w:kern w:val="2"/>
                                      <w:sz w:val="21"/>
                                      <w:szCs w:val="20"/>
                                      <w:lang w:val="en-US" w:eastAsia="zh-CN"/>
                                    </w:rPr>
                                  </w:pPr>
                                  <w:r>
                                    <w:rPr>
                                      <w:rFonts w:hint="eastAsia" w:cs="Times New Roman"/>
                                      <w:color w:val="000000"/>
                                      <w:kern w:val="0"/>
                                      <w:sz w:val="21"/>
                                      <w:szCs w:val="20"/>
                                      <w:lang w:val="en-US" w:eastAsia="zh-CN"/>
                                    </w:rPr>
                                    <w:t>3.4</w:t>
                                  </w:r>
                                </w:p>
                              </w:tc>
                              <w:tc>
                                <w:tcPr>
                                  <w:tcW w:w="869" w:type="dxa"/>
                                  <w:tcBorders>
                                    <w:top w:val="nil"/>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0.00</w:t>
                                  </w:r>
                                </w:p>
                              </w:tc>
                              <w:tc>
                                <w:tcPr>
                                  <w:tcW w:w="826" w:type="dxa"/>
                                  <w:tcBorders>
                                    <w:top w:val="nil"/>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hint="default" w:ascii="Times New Roman" w:hAnsi="Times New Roman" w:eastAsia="宋体" w:cs="Times New Roman"/>
                                      <w:color w:val="000000"/>
                                      <w:kern w:val="2"/>
                                      <w:sz w:val="21"/>
                                      <w:szCs w:val="20"/>
                                      <w:lang w:val="en-US" w:eastAsia="zh-CN"/>
                                    </w:rPr>
                                  </w:pPr>
                                  <w:r>
                                    <w:rPr>
                                      <w:rFonts w:hint="eastAsia" w:cs="Times New Roman"/>
                                      <w:color w:val="000000"/>
                                      <w:kern w:val="0"/>
                                      <w:sz w:val="21"/>
                                      <w:szCs w:val="20"/>
                                      <w:lang w:val="en-US" w:eastAsia="zh-CN"/>
                                    </w:rPr>
                                    <w:t>0.4</w:t>
                                  </w:r>
                                </w:p>
                              </w:tc>
                              <w:tc>
                                <w:tcPr>
                                  <w:tcW w:w="917" w:type="dxa"/>
                                  <w:tcBorders>
                                    <w:top w:val="nil"/>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hint="default" w:ascii="Times New Roman" w:hAnsi="Times New Roman" w:eastAsia="宋体" w:cs="Times New Roman"/>
                                      <w:color w:val="000000"/>
                                      <w:kern w:val="2"/>
                                      <w:sz w:val="21"/>
                                      <w:szCs w:val="20"/>
                                      <w:lang w:val="en-US" w:eastAsia="zh-CN"/>
                                    </w:rPr>
                                  </w:pPr>
                                  <w:r>
                                    <w:rPr>
                                      <w:rFonts w:hint="eastAsia" w:cs="Times New Roman"/>
                                      <w:color w:val="000000"/>
                                      <w:kern w:val="0"/>
                                      <w:sz w:val="21"/>
                                      <w:szCs w:val="20"/>
                                      <w:lang w:val="en-US" w:eastAsia="zh-CN"/>
                                    </w:rPr>
                                    <w:t>3</w:t>
                                  </w:r>
                                </w:p>
                              </w:tc>
                              <w:tc>
                                <w:tcPr>
                                  <w:tcW w:w="814" w:type="dxa"/>
                                  <w:tcBorders>
                                    <w:top w:val="nil"/>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0.00</w:t>
                                  </w:r>
                                </w:p>
                              </w:tc>
                              <w:tc>
                                <w:tcPr>
                                  <w:tcW w:w="945" w:type="dxa"/>
                                  <w:tcBorders>
                                    <w:top w:val="nil"/>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hint="default" w:ascii="Times New Roman" w:hAnsi="Times New Roman" w:eastAsia="宋体" w:cs="Times New Roman"/>
                                      <w:color w:val="000000"/>
                                      <w:kern w:val="2"/>
                                      <w:sz w:val="20"/>
                                      <w:szCs w:val="20"/>
                                      <w:lang w:val="en-US" w:eastAsia="zh-CN"/>
                                    </w:rPr>
                                  </w:pPr>
                                  <w:r>
                                    <w:rPr>
                                      <w:rFonts w:hint="eastAsia" w:cs="Times New Roman"/>
                                      <w:color w:val="000000"/>
                                      <w:kern w:val="0"/>
                                      <w:sz w:val="21"/>
                                      <w:szCs w:val="20"/>
                                      <w:lang w:val="en-US" w:eastAsia="zh-CN"/>
                                    </w:rPr>
                                    <w:t>3</w:t>
                                  </w:r>
                                </w:p>
                              </w:tc>
                            </w:tr>
                            <w:tr>
                              <w:tblPrEx>
                                <w:tblCellMar>
                                  <w:top w:w="0" w:type="dxa"/>
                                  <w:left w:w="108" w:type="dxa"/>
                                  <w:bottom w:w="0" w:type="dxa"/>
                                  <w:right w:w="108" w:type="dxa"/>
                                </w:tblCellMar>
                              </w:tblPrEx>
                              <w:trPr>
                                <w:trHeight w:val="461" w:hRule="atLeast"/>
                                <w:jc w:val="center"/>
                              </w:trPr>
                              <w:tc>
                                <w:tcPr>
                                  <w:tcW w:w="1408" w:type="pct"/>
                                  <w:vMerge w:val="continue"/>
                                  <w:tcBorders>
                                    <w:top w:val="nil"/>
                                    <w:left w:val="single" w:color="000000" w:sz="4" w:space="0"/>
                                    <w:bottom w:val="single" w:color="000000" w:sz="4" w:space="0"/>
                                    <w:right w:val="single" w:color="000000" w:sz="4" w:space="0"/>
                                  </w:tcBorders>
                                  <w:noWrap w:val="0"/>
                                  <w:vAlign w:val="center"/>
                                </w:tcPr>
                                <w:p>
                                  <w:pPr>
                                    <w:shd w:val="clear" w:color="auto" w:fill="auto"/>
                                    <w:overflowPunct w:val="0"/>
                                    <w:jc w:val="center"/>
                                    <w:rPr>
                                      <w:rFonts w:ascii="Times New Roman" w:hAnsi="Times New Roman" w:eastAsia="宋体" w:cs="Times New Roman"/>
                                      <w:color w:val="000000"/>
                                      <w:kern w:val="2"/>
                                      <w:sz w:val="21"/>
                                      <w:szCs w:val="20"/>
                                    </w:rPr>
                                  </w:pPr>
                                </w:p>
                              </w:tc>
                              <w:tc>
                                <w:tcPr>
                                  <w:tcW w:w="644"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hint="eastAsia" w:ascii="Times New Roman" w:hAnsi="Times New Roman" w:eastAsia="宋体" w:cs="Times New Roman"/>
                                      <w:color w:val="000000"/>
                                      <w:kern w:val="0"/>
                                      <w:sz w:val="21"/>
                                      <w:szCs w:val="20"/>
                                      <w:lang w:eastAsia="zh-CN"/>
                                    </w:rPr>
                                    <w:t>2024</w:t>
                                  </w:r>
                                  <w:r>
                                    <w:rPr>
                                      <w:rFonts w:ascii="Times New Roman" w:hAnsi="Times New Roman" w:eastAsia="宋体" w:cs="Times New Roman"/>
                                      <w:color w:val="000000"/>
                                      <w:kern w:val="0"/>
                                      <w:sz w:val="21"/>
                                      <w:szCs w:val="20"/>
                                    </w:rPr>
                                    <w:t>年</w:t>
                                  </w:r>
                                </w:p>
                              </w:tc>
                              <w:tc>
                                <w:tcPr>
                                  <w:tcW w:w="730"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hint="default" w:ascii="Times New Roman" w:hAnsi="Times New Roman" w:eastAsia="宋体" w:cs="Times New Roman"/>
                                      <w:color w:val="000000"/>
                                      <w:kern w:val="2"/>
                                      <w:sz w:val="21"/>
                                      <w:szCs w:val="20"/>
                                      <w:lang w:val="en-US" w:eastAsia="zh-CN"/>
                                    </w:rPr>
                                  </w:pPr>
                                  <w:r>
                                    <w:rPr>
                                      <w:rFonts w:hint="eastAsia" w:cs="Times New Roman"/>
                                      <w:color w:val="000000"/>
                                      <w:kern w:val="0"/>
                                      <w:sz w:val="21"/>
                                      <w:szCs w:val="20"/>
                                      <w:lang w:val="en-US" w:eastAsia="zh-CN"/>
                                    </w:rPr>
                                    <w:t>2.4</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0.00</w:t>
                                  </w:r>
                                </w:p>
                              </w:tc>
                              <w:tc>
                                <w:tcPr>
                                  <w:tcW w:w="419"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hint="default" w:ascii="Times New Roman" w:hAnsi="Times New Roman" w:eastAsia="宋体" w:cs="Times New Roman"/>
                                      <w:color w:val="000000"/>
                                      <w:kern w:val="2"/>
                                      <w:sz w:val="21"/>
                                      <w:szCs w:val="20"/>
                                      <w:lang w:val="en-US" w:eastAsia="zh-CN"/>
                                    </w:rPr>
                                  </w:pPr>
                                  <w:r>
                                    <w:rPr>
                                      <w:rFonts w:hint="eastAsia" w:cs="Times New Roman"/>
                                      <w:color w:val="000000"/>
                                      <w:kern w:val="0"/>
                                      <w:sz w:val="21"/>
                                      <w:szCs w:val="20"/>
                                      <w:lang w:val="en-US" w:eastAsia="zh-CN"/>
                                    </w:rPr>
                                    <w:t>0.4</w:t>
                                  </w:r>
                                </w:p>
                              </w:tc>
                              <w:tc>
                                <w:tcPr>
                                  <w:tcW w:w="464"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hint="eastAsia" w:ascii="Times New Roman" w:hAnsi="Times New Roman" w:eastAsia="宋体" w:cs="Times New Roman"/>
                                      <w:color w:val="000000"/>
                                      <w:kern w:val="2"/>
                                      <w:sz w:val="21"/>
                                      <w:szCs w:val="20"/>
                                      <w:lang w:eastAsia="zh-CN"/>
                                    </w:rPr>
                                  </w:pPr>
                                  <w:r>
                                    <w:rPr>
                                      <w:rFonts w:hint="eastAsia" w:cs="Times New Roman"/>
                                      <w:color w:val="000000"/>
                                      <w:kern w:val="0"/>
                                      <w:sz w:val="21"/>
                                      <w:szCs w:val="20"/>
                                      <w:lang w:val="en-US" w:eastAsia="zh-CN"/>
                                    </w:rPr>
                                    <w:t>2</w:t>
                                  </w:r>
                                </w:p>
                              </w:tc>
                              <w:tc>
                                <w:tcPr>
                                  <w:tcW w:w="413"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0.00</w:t>
                                  </w:r>
                                </w:p>
                              </w:tc>
                              <w:tc>
                                <w:tcPr>
                                  <w:tcW w:w="478"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hint="eastAsia" w:ascii="Times New Roman" w:hAnsi="Times New Roman" w:eastAsia="宋体" w:cs="Times New Roman"/>
                                      <w:color w:val="000000"/>
                                      <w:kern w:val="2"/>
                                      <w:sz w:val="20"/>
                                      <w:szCs w:val="20"/>
                                      <w:lang w:eastAsia="zh-CN"/>
                                    </w:rPr>
                                  </w:pPr>
                                  <w:r>
                                    <w:rPr>
                                      <w:rFonts w:hint="eastAsia" w:cs="Times New Roman"/>
                                      <w:color w:val="000000"/>
                                      <w:kern w:val="0"/>
                                      <w:sz w:val="21"/>
                                      <w:szCs w:val="20"/>
                                      <w:lang w:val="en-US" w:eastAsia="zh-CN"/>
                                    </w:rPr>
                                    <w:t>2</w:t>
                                  </w:r>
                                </w:p>
                              </w:tc>
                            </w:tr>
                            <w:tr>
                              <w:tblPrEx>
                                <w:tblCellMar>
                                  <w:top w:w="0" w:type="dxa"/>
                                  <w:left w:w="108" w:type="dxa"/>
                                  <w:bottom w:w="0" w:type="dxa"/>
                                  <w:right w:w="108" w:type="dxa"/>
                                </w:tblCellMar>
                              </w:tblPrEx>
                              <w:trPr>
                                <w:trHeight w:val="650" w:hRule="atLeast"/>
                                <w:jc w:val="center"/>
                              </w:trPr>
                              <w:tc>
                                <w:tcPr>
                                  <w:tcW w:w="1408" w:type="pct"/>
                                  <w:vMerge w:val="continue"/>
                                  <w:tcBorders>
                                    <w:top w:val="nil"/>
                                    <w:left w:val="single" w:color="000000" w:sz="4" w:space="0"/>
                                    <w:bottom w:val="single" w:color="000000" w:sz="4" w:space="0"/>
                                    <w:right w:val="single" w:color="000000" w:sz="4" w:space="0"/>
                                  </w:tcBorders>
                                  <w:noWrap w:val="0"/>
                                  <w:vAlign w:val="center"/>
                                </w:tcPr>
                                <w:p>
                                  <w:pPr>
                                    <w:shd w:val="clear" w:color="auto" w:fill="auto"/>
                                    <w:overflowPunct w:val="0"/>
                                    <w:jc w:val="center"/>
                                    <w:rPr>
                                      <w:rFonts w:ascii="Times New Roman" w:hAnsi="Times New Roman" w:eastAsia="宋体" w:cs="Times New Roman"/>
                                      <w:color w:val="000000"/>
                                      <w:kern w:val="2"/>
                                      <w:sz w:val="21"/>
                                      <w:szCs w:val="20"/>
                                    </w:rPr>
                                  </w:pPr>
                                </w:p>
                              </w:tc>
                              <w:tc>
                                <w:tcPr>
                                  <w:tcW w:w="644"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增减变化金额</w:t>
                                  </w:r>
                                </w:p>
                              </w:tc>
                              <w:tc>
                                <w:tcPr>
                                  <w:tcW w:w="730"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hint="default" w:ascii="Times New Roman" w:hAnsi="Times New Roman" w:eastAsia="宋体" w:cs="Times New Roman"/>
                                      <w:color w:val="000000"/>
                                      <w:kern w:val="2"/>
                                      <w:sz w:val="21"/>
                                      <w:szCs w:val="20"/>
                                      <w:lang w:val="en-US" w:eastAsia="zh-CN"/>
                                    </w:rPr>
                                  </w:pPr>
                                  <w:r>
                                    <w:rPr>
                                      <w:rFonts w:hint="eastAsia" w:cs="Times New Roman"/>
                                      <w:color w:val="000000"/>
                                      <w:kern w:val="0"/>
                                      <w:sz w:val="21"/>
                                      <w:szCs w:val="20"/>
                                      <w:lang w:val="en-US" w:eastAsia="zh-CN"/>
                                    </w:rPr>
                                    <w:t>-1.00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0.00</w:t>
                                  </w:r>
                                </w:p>
                              </w:tc>
                              <w:tc>
                                <w:tcPr>
                                  <w:tcW w:w="419"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0.00</w:t>
                                  </w:r>
                                </w:p>
                              </w:tc>
                              <w:tc>
                                <w:tcPr>
                                  <w:tcW w:w="464"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hint="default" w:ascii="Times New Roman" w:hAnsi="Times New Roman" w:eastAsia="宋体" w:cs="Times New Roman"/>
                                      <w:color w:val="000000"/>
                                      <w:kern w:val="2"/>
                                      <w:sz w:val="21"/>
                                      <w:szCs w:val="20"/>
                                      <w:lang w:val="en-US" w:eastAsia="zh-CN"/>
                                    </w:rPr>
                                  </w:pPr>
                                  <w:r>
                                    <w:rPr>
                                      <w:rFonts w:hint="eastAsia" w:ascii="Times New Roman" w:hAnsi="Times New Roman" w:eastAsia="宋体" w:cs="Times New Roman"/>
                                      <w:color w:val="000000"/>
                                      <w:kern w:val="0"/>
                                      <w:sz w:val="21"/>
                                      <w:szCs w:val="20"/>
                                      <w:lang w:val="en-US" w:eastAsia="zh-CN"/>
                                    </w:rPr>
                                    <w:t>-1.00</w:t>
                                  </w:r>
                                </w:p>
                              </w:tc>
                              <w:tc>
                                <w:tcPr>
                                  <w:tcW w:w="413"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0.00</w:t>
                                  </w:r>
                                </w:p>
                              </w:tc>
                              <w:tc>
                                <w:tcPr>
                                  <w:tcW w:w="478"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hint="default" w:ascii="Times New Roman" w:hAnsi="Times New Roman" w:eastAsia="宋体" w:cs="Times New Roman"/>
                                      <w:color w:val="000000"/>
                                      <w:kern w:val="2"/>
                                      <w:sz w:val="20"/>
                                      <w:szCs w:val="20"/>
                                      <w:lang w:val="en-US" w:eastAsia="zh-CN"/>
                                    </w:rPr>
                                  </w:pPr>
                                  <w:r>
                                    <w:rPr>
                                      <w:rFonts w:hint="eastAsia" w:ascii="Times New Roman" w:hAnsi="Times New Roman" w:eastAsia="宋体" w:cs="Times New Roman"/>
                                      <w:color w:val="000000"/>
                                      <w:kern w:val="0"/>
                                      <w:sz w:val="21"/>
                                      <w:szCs w:val="20"/>
                                      <w:lang w:val="en-US" w:eastAsia="zh-CN"/>
                                    </w:rPr>
                                    <w:t>-1.00</w:t>
                                  </w:r>
                                </w:p>
                              </w:tc>
                            </w:tr>
                          </w:tbl>
                          <w:p>
                            <w:pPr>
                              <w:jc w:val="both"/>
                              <w:rPr>
                                <w:rFonts w:hint="eastAsia" w:ascii="方正小标宋简体" w:hAnsi="方正小标宋简体" w:eastAsia="方正小标宋简体" w:cs="方正小标宋简体"/>
                                <w:color w:val="FFFFFF"/>
                                <w:w w:val="75"/>
                                <w:sz w:val="60"/>
                                <w:szCs w:val="60"/>
                                <w:lang w:eastAsia="zh-CN"/>
                                <w14:glow w14:rad="0">
                                  <w14:srgbClr w14:val="000000"/>
                                </w14:glow>
                                <w14:shadow w14:blurRad="38100" w14:dist="22860" w14:dir="5400000" w14:sx="100000" w14:sy="100000" w14:kx="0" w14:ky="0" w14:algn="tl">
                                  <w14:srgbClr w14:val="000000">
                                    <w14:alpha w14:val="70000"/>
                                  </w14:srgbClr>
                                </w14:shadow>
                                <w14:reflection w14:blurRad="0" w14:stA="0" w14:stPos="0" w14:endA="0" w14:endPos="0" w14:dist="0" w14:dir="0" w14:fadeDir="0" w14:sx="0" w14:sy="0" w14:kx="0" w14:ky="0" w14:algn="none"/>
                                <w14:textOutline w14:w="10160">
                                  <w14:solidFill>
                                    <w14:schemeClr w14:val="accent5"/>
                                  </w14:solidFill>
                                  <w14:prstDash w14:val="solid"/>
                                  <w14:round/>
                                </w14:textOutline>
                                <w14:props3d w14:extrusionH="0" w14:contourW="0" w14:prstMaterial="cle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 o:spid="_x0000_s1026" o:spt="202" type="#_x0000_t202" style="position:absolute;left:0pt;margin-left:-15.35pt;margin-top:2.4pt;height:652.05pt;width:497.1pt;z-index:-251657216;mso-width-relative:page;mso-height-relative:page;" filled="f" stroked="f" coordsize="21600,21600" o:gfxdata="UEsDBAoAAAAAAIdO4kAAAAAAAAAAAAAAAAAEAAAAZHJzL1BLAwQUAAAACACHTuJA/08cgtsAAAAK&#10;AQAADwAAAGRycy9kb3ducmV2LnhtbE2Py07DMBBF90j8gzVI7Fq7DS1piFOhSBUSgkVLN+yceJpE&#10;xOMQuw/4eoYVLEf36M65+frienHCMXSeNMymCgRS7W1HjYb922aSggjRkDW9J9TwhQHWxfVVbjLr&#10;z7TF0y42gksoZEZDG+OQSRnqFp0JUz8gcXbwozORz7GRdjRnLne9nCu1lM50xB9aM2DZYv2xOzoN&#10;z+Xm1WyruUu/+/Lp5fA4fO7fF1rf3szUA4iIl/gHw68+q0PBTpU/kg2i1zBJ1D2jGu54AeerZbIA&#10;UTGYqHQFssjl/wnFD1BLAwQUAAAACACHTuJANJw7JikCAAAlBAAADgAAAGRycy9lMm9Eb2MueG1s&#10;rVPNjtMwEL4j8Q6W7zRJ23S7VdNV2VURUsWuVBBn17HbSI7H2G6T8gDwBpy4cOe5+hyMnbZbASfE&#10;xR57Ps/PN5+nd22tyF5YV4EuaNZLKRGaQ1npTUE/vF+8GlPiPNMlU6BFQQ/C0bvZyxfTxkxEH7ag&#10;SmEJBtFu0piCbr03kyRxfCtq5npghEanBFszj0e7SUrLGoxeq6SfpqOkAVsaC1w4h7cPnZPOYnwp&#10;BfePUjrhiSoo1ubjauO6Dmsym7LJxjKzrfipDPYPVdSs0pj0EuqBeUZ2tvojVF1xCw6k73GoE5Cy&#10;4iL2gN1k6W/drLbMiNgLkuPMhSb3/8Lyd/snS6oSZ5dRolmNMzp++3r8/vP44wvpB34a4yYIWxkE&#10;+vY1tIg93zu8DG230tZhx4YI+keDNM9zSg4ITW+zfJR3RIvWEx792SC7wXlwRIz74ywdRETyHMlY&#10;598IqEkwCmpxkpFgtl86j1Uh9AwJiTUsKqXiNJUmTSghT+ODiwdfKI0PQz9d3cHy7bo9NbmG8oA9&#10;WuhU4gxfVJh8yZx/YhZlgQWj1P0jLlIBJoGTRckW7Oe/3Qc8Tgu9lDQos4K6TztmBSXqrcY53mbD&#10;YdBlPAzzmz4e7LVnfe3Ru/oeUMk4KqwumgHv1dmUFuqP+CPmISu6mOaYu6D+bN77Tvz4o7iYzyMI&#10;lWiYX+qV4SF0R+d850FWkelAU8fNiT3UYhzA6d8EsV+fI+r5d89+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P9PHILbAAAACgEAAA8AAAAAAAAAAQAgAAAAIgAAAGRycy9kb3ducmV2LnhtbFBLAQIU&#10;ABQAAAAIAIdO4kA0nDsmKQIAACUEAAAOAAAAAAAAAAEAIAAAACoBAABkcnMvZTJvRG9jLnhtbFBL&#10;BQYAAAAABgAGAFkBAADFBQAAAAA=&#10;">
                <v:fill on="f" focussize="0,0"/>
                <v:stroke on="f" weight="0.5pt"/>
                <v:imagedata o:title=""/>
                <o:lock v:ext="edit" aspectratio="f"/>
                <v:textbox>
                  <w:txbxContent>
                    <w:p>
                      <w:pPr>
                        <w:pBdr>
                          <w:top w:val="none" w:color="auto" w:sz="0" w:space="0"/>
                          <w:left w:val="none" w:color="auto" w:sz="0" w:space="0"/>
                          <w:bottom w:val="none" w:color="auto" w:sz="0" w:space="0"/>
                          <w:right w:val="none" w:color="auto" w:sz="0" w:space="0"/>
                          <w:between w:val="none" w:color="auto" w:sz="0" w:space="0"/>
                        </w:pBdr>
                        <w:spacing w:line="420" w:lineRule="exact"/>
                        <w:jc w:val="both"/>
                        <w:rPr>
                          <w:rFonts w:hint="eastAsia" w:ascii="黑体" w:hAnsi="黑体" w:eastAsia="黑体" w:cs="黑体"/>
                          <w:color w:val="000000"/>
                          <w:sz w:val="28"/>
                          <w:szCs w:val="28"/>
                        </w:rPr>
                      </w:pPr>
                    </w:p>
                    <w:p>
                      <w:pPr>
                        <w:pBdr>
                          <w:top w:val="none" w:color="auto" w:sz="0" w:space="0"/>
                          <w:left w:val="none" w:color="auto" w:sz="0" w:space="0"/>
                          <w:bottom w:val="none" w:color="auto" w:sz="0" w:space="0"/>
                          <w:right w:val="none" w:color="auto" w:sz="0" w:space="0"/>
                          <w:between w:val="none" w:color="auto" w:sz="0" w:space="0"/>
                        </w:pBdr>
                        <w:spacing w:line="420" w:lineRule="exact"/>
                        <w:jc w:val="center"/>
                        <w:outlineLvl w:val="0"/>
                        <w:rPr>
                          <w:rFonts w:hint="eastAsia" w:ascii="黑体" w:hAnsi="黑体" w:eastAsia="黑体" w:cs="黑体"/>
                          <w:color w:val="000000"/>
                          <w:sz w:val="28"/>
                          <w:szCs w:val="28"/>
                          <w:lang w:eastAsia="zh-CN"/>
                        </w:rPr>
                      </w:pPr>
                      <w:r>
                        <w:rPr>
                          <w:rFonts w:hint="eastAsia" w:ascii="黑体" w:hAnsi="黑体" w:eastAsia="黑体" w:cs="黑体"/>
                          <w:color w:val="000000"/>
                          <w:sz w:val="28"/>
                          <w:szCs w:val="28"/>
                        </w:rPr>
                        <w:t>中共深圳市福田区委</w:t>
                      </w:r>
                      <w:r>
                        <w:rPr>
                          <w:rFonts w:hint="eastAsia" w:ascii="黑体" w:hAnsi="黑体" w:eastAsia="黑体" w:cs="黑体"/>
                          <w:color w:val="000000"/>
                          <w:sz w:val="28"/>
                          <w:szCs w:val="28"/>
                          <w:lang w:eastAsia="zh-CN"/>
                        </w:rPr>
                        <w:t>机构编制委员会办公室</w:t>
                      </w:r>
                    </w:p>
                    <w:p>
                      <w:pPr>
                        <w:pBdr>
                          <w:top w:val="none" w:color="auto" w:sz="0" w:space="0"/>
                          <w:left w:val="none" w:color="auto" w:sz="0" w:space="0"/>
                          <w:bottom w:val="none" w:color="auto" w:sz="0" w:space="0"/>
                          <w:right w:val="none" w:color="auto" w:sz="0" w:space="0"/>
                          <w:between w:val="none" w:color="auto" w:sz="0" w:space="0"/>
                        </w:pBdr>
                        <w:spacing w:line="420" w:lineRule="exact"/>
                        <w:jc w:val="center"/>
                        <w:outlineLvl w:val="0"/>
                        <w:rPr>
                          <w:rFonts w:ascii="黑体" w:hAnsi="黑体" w:eastAsia="黑体" w:cs="黑体"/>
                          <w:color w:val="000000"/>
                          <w:sz w:val="28"/>
                          <w:szCs w:val="28"/>
                        </w:rPr>
                      </w:pPr>
                      <w:r>
                        <w:rPr>
                          <w:rFonts w:hint="eastAsia" w:ascii="黑体" w:hAnsi="黑体" w:eastAsia="黑体" w:cs="黑体"/>
                          <w:color w:val="000000"/>
                          <w:sz w:val="28"/>
                          <w:szCs w:val="28"/>
                          <w:lang w:eastAsia="zh-CN"/>
                        </w:rPr>
                        <w:t>202</w:t>
                      </w:r>
                      <w:r>
                        <w:rPr>
                          <w:rFonts w:hint="eastAsia" w:ascii="黑体" w:hAnsi="黑体" w:eastAsia="黑体" w:cs="黑体"/>
                          <w:color w:val="000000"/>
                          <w:sz w:val="28"/>
                          <w:szCs w:val="28"/>
                          <w:lang w:val="en-US" w:eastAsia="zh-CN"/>
                        </w:rPr>
                        <w:t>4</w:t>
                      </w:r>
                      <w:r>
                        <w:rPr>
                          <w:rFonts w:hint="eastAsia" w:ascii="黑体" w:hAnsi="黑体" w:eastAsia="黑体" w:cs="黑体"/>
                          <w:color w:val="000000"/>
                          <w:sz w:val="28"/>
                          <w:szCs w:val="28"/>
                        </w:rPr>
                        <w:t>年“三公”经费财政拨款预算情况</w:t>
                      </w:r>
                    </w:p>
                    <w:p>
                      <w:pPr>
                        <w:shd w:val="solid" w:color="FFFFFF" w:fill="auto"/>
                        <w:overflowPunct w:val="0"/>
                        <w:autoSpaceDN w:val="0"/>
                        <w:spacing w:line="420" w:lineRule="exact"/>
                        <w:ind w:firstLine="422" w:firstLineChars="200"/>
                        <w:jc w:val="left"/>
                        <w:rPr>
                          <w:rFonts w:ascii="Times New Roman" w:hAnsi="Times New Roman" w:eastAsia="宋体" w:cs="Times New Roman"/>
                          <w:b/>
                          <w:bCs/>
                          <w:color w:val="000000"/>
                          <w:kern w:val="2"/>
                          <w:sz w:val="21"/>
                          <w:szCs w:val="20"/>
                        </w:rPr>
                      </w:pPr>
                    </w:p>
                    <w:p>
                      <w:pPr>
                        <w:shd w:val="solid" w:color="FFFFFF" w:fill="auto"/>
                        <w:overflowPunct w:val="0"/>
                        <w:autoSpaceDN w:val="0"/>
                        <w:spacing w:line="420" w:lineRule="exact"/>
                        <w:ind w:firstLine="422" w:firstLineChars="200"/>
                        <w:jc w:val="left"/>
                        <w:rPr>
                          <w:rFonts w:ascii="Times New Roman" w:hAnsi="Times New Roman" w:eastAsia="宋体" w:cs="Times New Roman"/>
                          <w:color w:val="000000"/>
                          <w:kern w:val="2"/>
                          <w:sz w:val="21"/>
                          <w:szCs w:val="20"/>
                          <w:shd w:val="clear" w:color="auto" w:fill="FFFFFF"/>
                        </w:rPr>
                      </w:pPr>
                      <w:r>
                        <w:rPr>
                          <w:rFonts w:ascii="Times New Roman" w:hAnsi="Times New Roman" w:eastAsia="宋体" w:cs="Times New Roman"/>
                          <w:b/>
                          <w:bCs/>
                          <w:color w:val="000000"/>
                          <w:kern w:val="2"/>
                          <w:sz w:val="21"/>
                          <w:szCs w:val="20"/>
                        </w:rPr>
                        <w:t>一、“三公”经费的单位范围</w:t>
                      </w:r>
                      <w:r>
                        <w:rPr>
                          <w:rFonts w:ascii="Times New Roman" w:hAnsi="Times New Roman" w:eastAsia="宋体" w:cs="Times New Roman"/>
                          <w:color w:val="000000"/>
                          <w:kern w:val="2"/>
                          <w:sz w:val="21"/>
                          <w:szCs w:val="20"/>
                        </w:rPr>
                        <w:br w:type="textWrapping"/>
                      </w:r>
                      <w:r>
                        <w:rPr>
                          <w:rFonts w:ascii="Times New Roman" w:hAnsi="Times New Roman" w:eastAsia="宋体" w:cs="Times New Roman"/>
                          <w:color w:val="000000"/>
                          <w:kern w:val="2"/>
                          <w:sz w:val="21"/>
                          <w:szCs w:val="20"/>
                        </w:rPr>
                        <w:t xml:space="preserve">    </w:t>
                      </w:r>
                      <w:r>
                        <w:rPr>
                          <w:rFonts w:ascii="Times New Roman" w:hAnsi="Times New Roman" w:eastAsia="宋体" w:cs="Times New Roman"/>
                          <w:color w:val="000000"/>
                          <w:kern w:val="2"/>
                          <w:sz w:val="21"/>
                          <w:szCs w:val="21"/>
                        </w:rPr>
                        <w:t>中共深圳市福田区委</w:t>
                      </w:r>
                      <w:r>
                        <w:rPr>
                          <w:rFonts w:hint="eastAsia" w:cs="Times New Roman"/>
                          <w:color w:val="000000"/>
                          <w:kern w:val="2"/>
                          <w:sz w:val="21"/>
                          <w:szCs w:val="21"/>
                          <w:lang w:eastAsia="zh-CN"/>
                        </w:rPr>
                        <w:t>编制委员会办公室</w:t>
                      </w:r>
                      <w:r>
                        <w:rPr>
                          <w:rFonts w:ascii="Times New Roman" w:hAnsi="Times New Roman" w:eastAsia="宋体" w:cs="Times New Roman"/>
                          <w:color w:val="000000"/>
                          <w:kern w:val="2"/>
                          <w:sz w:val="21"/>
                          <w:szCs w:val="20"/>
                        </w:rPr>
                        <w:t>因公出国（境）费用、公务接待费、公务用车购置和运行维护费开支</w:t>
                      </w:r>
                      <w:r>
                        <w:rPr>
                          <w:rFonts w:ascii="Times New Roman" w:hAnsi="Times New Roman" w:eastAsia="宋体" w:cs="Times New Roman"/>
                          <w:color w:val="000000"/>
                          <w:kern w:val="2"/>
                          <w:sz w:val="21"/>
                          <w:szCs w:val="21"/>
                        </w:rPr>
                        <w:t>。</w:t>
                      </w:r>
                      <w:r>
                        <w:rPr>
                          <w:rFonts w:ascii="Times New Roman" w:hAnsi="Times New Roman" w:eastAsia="宋体" w:cs="Times New Roman"/>
                          <w:color w:val="000000"/>
                          <w:kern w:val="2"/>
                          <w:sz w:val="21"/>
                          <w:szCs w:val="20"/>
                        </w:rPr>
                        <w:br w:type="textWrapping"/>
                      </w:r>
                      <w:r>
                        <w:rPr>
                          <w:rFonts w:ascii="Times New Roman" w:hAnsi="Times New Roman" w:eastAsia="宋体" w:cs="Times New Roman"/>
                          <w:color w:val="000000"/>
                          <w:kern w:val="2"/>
                          <w:sz w:val="21"/>
                          <w:szCs w:val="20"/>
                        </w:rPr>
                        <w:t xml:space="preserve"> </w:t>
                      </w:r>
                      <w:r>
                        <w:rPr>
                          <w:rFonts w:ascii="Times New Roman" w:hAnsi="Times New Roman" w:eastAsia="宋体" w:cs="Times New Roman"/>
                          <w:b/>
                          <w:bCs/>
                          <w:color w:val="000000"/>
                          <w:kern w:val="2"/>
                          <w:sz w:val="21"/>
                          <w:szCs w:val="20"/>
                        </w:rPr>
                        <w:t xml:space="preserve">   二、“三公”经费预算情况说明</w:t>
                      </w:r>
                      <w:r>
                        <w:rPr>
                          <w:rFonts w:ascii="Times New Roman" w:hAnsi="Times New Roman" w:eastAsia="宋体" w:cs="Times New Roman"/>
                          <w:color w:val="000000"/>
                          <w:kern w:val="2"/>
                          <w:sz w:val="21"/>
                          <w:szCs w:val="20"/>
                        </w:rPr>
                        <w:br w:type="textWrapping"/>
                      </w:r>
                      <w:r>
                        <w:rPr>
                          <w:rFonts w:ascii="Times New Roman" w:hAnsi="Times New Roman" w:eastAsia="宋体" w:cs="Times New Roman"/>
                          <w:color w:val="000000"/>
                          <w:kern w:val="2"/>
                          <w:sz w:val="21"/>
                          <w:szCs w:val="20"/>
                        </w:rPr>
                        <w:t xml:space="preserve">    </w:t>
                      </w:r>
                      <w:r>
                        <w:rPr>
                          <w:rFonts w:hint="eastAsia" w:ascii="Times New Roman" w:hAnsi="Times New Roman" w:eastAsia="宋体" w:cs="Times New Roman"/>
                          <w:color w:val="000000"/>
                          <w:kern w:val="2"/>
                          <w:sz w:val="21"/>
                          <w:szCs w:val="21"/>
                          <w:lang w:eastAsia="zh-CN"/>
                        </w:rPr>
                        <w:t>2024</w:t>
                      </w:r>
                      <w:r>
                        <w:rPr>
                          <w:rFonts w:ascii="Times New Roman" w:hAnsi="Times New Roman" w:eastAsia="宋体" w:cs="Times New Roman"/>
                          <w:color w:val="000000"/>
                          <w:kern w:val="2"/>
                          <w:sz w:val="21"/>
                          <w:szCs w:val="20"/>
                        </w:rPr>
                        <w:t>年“三公”经费预算</w:t>
                      </w:r>
                      <w:r>
                        <w:rPr>
                          <w:rFonts w:hint="eastAsia" w:ascii="Times New Roman" w:hAnsi="Times New Roman" w:eastAsia="宋体" w:cs="Times New Roman"/>
                          <w:color w:val="000000"/>
                          <w:kern w:val="2"/>
                          <w:sz w:val="21"/>
                          <w:szCs w:val="20"/>
                          <w:lang w:val="en-US" w:eastAsia="zh-CN"/>
                        </w:rPr>
                        <w:t>2.4</w:t>
                      </w:r>
                      <w:r>
                        <w:rPr>
                          <w:rFonts w:ascii="Times New Roman" w:hAnsi="Times New Roman" w:eastAsia="宋体" w:cs="Times New Roman"/>
                          <w:color w:val="000000"/>
                          <w:kern w:val="2"/>
                          <w:sz w:val="21"/>
                          <w:szCs w:val="20"/>
                        </w:rPr>
                        <w:t>万元，</w:t>
                      </w:r>
                      <w:r>
                        <w:rPr>
                          <w:rFonts w:ascii="Times New Roman" w:hAnsi="Times New Roman" w:eastAsia="宋体" w:cs="Times New Roman"/>
                          <w:bCs/>
                          <w:color w:val="000000"/>
                          <w:kern w:val="2"/>
                          <w:sz w:val="21"/>
                          <w:szCs w:val="21"/>
                        </w:rPr>
                        <w:t>与</w:t>
                      </w:r>
                      <w:r>
                        <w:rPr>
                          <w:rFonts w:hint="eastAsia" w:ascii="Times New Roman" w:hAnsi="Times New Roman" w:eastAsia="宋体" w:cs="Times New Roman"/>
                          <w:bCs/>
                          <w:color w:val="000000"/>
                          <w:kern w:val="2"/>
                          <w:sz w:val="21"/>
                          <w:szCs w:val="21"/>
                          <w:lang w:eastAsia="zh-CN"/>
                        </w:rPr>
                        <w:t>2023</w:t>
                      </w:r>
                      <w:r>
                        <w:rPr>
                          <w:rFonts w:ascii="Times New Roman" w:hAnsi="Times New Roman" w:eastAsia="宋体" w:cs="Times New Roman"/>
                          <w:bCs/>
                          <w:color w:val="000000"/>
                          <w:kern w:val="2"/>
                          <w:sz w:val="21"/>
                          <w:szCs w:val="21"/>
                        </w:rPr>
                        <w:t>年“三公”经费预算数相比</w:t>
                      </w:r>
                      <w:r>
                        <w:rPr>
                          <w:rFonts w:hint="eastAsia" w:cs="Times New Roman"/>
                          <w:bCs/>
                          <w:color w:val="000000"/>
                          <w:kern w:val="2"/>
                          <w:sz w:val="21"/>
                          <w:szCs w:val="21"/>
                          <w:lang w:val="en-US" w:eastAsia="zh-CN"/>
                        </w:rPr>
                        <w:t>减少1万元</w:t>
                      </w:r>
                      <w:r>
                        <w:rPr>
                          <w:rFonts w:ascii="Times New Roman" w:hAnsi="Times New Roman" w:eastAsia="宋体" w:cs="Times New Roman"/>
                          <w:color w:val="000000"/>
                          <w:kern w:val="2"/>
                          <w:sz w:val="21"/>
                          <w:szCs w:val="20"/>
                        </w:rPr>
                        <w:t>。</w:t>
                      </w:r>
                      <w:r>
                        <w:rPr>
                          <w:rFonts w:ascii="Times New Roman" w:hAnsi="Times New Roman" w:eastAsia="宋体" w:cs="Times New Roman"/>
                          <w:color w:val="000000"/>
                          <w:kern w:val="2"/>
                          <w:sz w:val="21"/>
                          <w:szCs w:val="20"/>
                        </w:rPr>
                        <w:br w:type="textWrapping"/>
                      </w:r>
                      <w:r>
                        <w:rPr>
                          <w:rFonts w:ascii="Times New Roman" w:hAnsi="Times New Roman" w:eastAsia="宋体" w:cs="Times New Roman"/>
                          <w:color w:val="000000"/>
                          <w:kern w:val="2"/>
                          <w:sz w:val="21"/>
                          <w:szCs w:val="20"/>
                        </w:rPr>
                        <w:t xml:space="preserve">   </w:t>
                      </w:r>
                      <w:r>
                        <w:rPr>
                          <w:rFonts w:ascii="Times New Roman" w:hAnsi="Times New Roman" w:eastAsia="宋体" w:cs="Times New Roman"/>
                          <w:color w:val="000000"/>
                          <w:kern w:val="2"/>
                          <w:sz w:val="21"/>
                          <w:szCs w:val="20"/>
                          <w:shd w:val="clear" w:color="auto" w:fill="FFFFFF"/>
                        </w:rPr>
                        <w:t xml:space="preserve"> </w:t>
                      </w:r>
                      <w:r>
                        <w:rPr>
                          <w:rFonts w:hint="eastAsia" w:ascii="Times New Roman" w:hAnsi="Times New Roman" w:eastAsia="宋体" w:cs="Times New Roman"/>
                          <w:color w:val="000000"/>
                          <w:kern w:val="2"/>
                          <w:sz w:val="21"/>
                          <w:szCs w:val="20"/>
                          <w:shd w:val="clear" w:color="auto" w:fill="FFFFFF"/>
                        </w:rPr>
                        <w:t>（一）</w:t>
                      </w:r>
                      <w:r>
                        <w:rPr>
                          <w:rFonts w:ascii="Times New Roman" w:hAnsi="Times New Roman" w:eastAsia="宋体" w:cs="Times New Roman"/>
                          <w:color w:val="000000"/>
                          <w:kern w:val="2"/>
                          <w:sz w:val="21"/>
                          <w:szCs w:val="20"/>
                        </w:rPr>
                        <w:t>因公出国（境）费用。</w:t>
                      </w:r>
                      <w:r>
                        <w:rPr>
                          <w:rFonts w:hint="eastAsia" w:ascii="Times New Roman" w:hAnsi="Times New Roman" w:eastAsia="宋体" w:cs="Times New Roman"/>
                          <w:color w:val="000000"/>
                          <w:kern w:val="2"/>
                          <w:sz w:val="21"/>
                          <w:szCs w:val="21"/>
                          <w:lang w:eastAsia="zh-CN"/>
                        </w:rPr>
                        <w:t>2024</w:t>
                      </w:r>
                      <w:r>
                        <w:rPr>
                          <w:rFonts w:ascii="Times New Roman" w:hAnsi="Times New Roman" w:eastAsia="宋体" w:cs="Times New Roman"/>
                          <w:color w:val="000000"/>
                          <w:kern w:val="2"/>
                          <w:sz w:val="21"/>
                          <w:szCs w:val="20"/>
                        </w:rPr>
                        <w:t>年预算数0万元。</w:t>
                      </w:r>
                      <w:r>
                        <w:rPr>
                          <w:rFonts w:ascii="Times New Roman" w:hAnsi="Times New Roman" w:eastAsia="宋体" w:cs="Times New Roman"/>
                          <w:color w:val="000000"/>
                          <w:kern w:val="2"/>
                          <w:sz w:val="21"/>
                          <w:szCs w:val="20"/>
                          <w:shd w:val="clear" w:color="auto" w:fill="FFFFFF"/>
                        </w:rPr>
                        <w:t>为进一步规范因公出国（境）经费管理，我区因公出国（境）经费完全按零基预算的原则根据区因公出国计划预审会议审定计划动态调配使用，因此各单位</w:t>
                      </w:r>
                      <w:r>
                        <w:rPr>
                          <w:rFonts w:hint="eastAsia" w:ascii="Times New Roman" w:hAnsi="Times New Roman" w:eastAsia="宋体" w:cs="Times New Roman"/>
                          <w:color w:val="000000"/>
                          <w:kern w:val="2"/>
                          <w:sz w:val="21"/>
                          <w:szCs w:val="21"/>
                          <w:lang w:eastAsia="zh-CN"/>
                        </w:rPr>
                        <w:t>2024</w:t>
                      </w:r>
                      <w:r>
                        <w:rPr>
                          <w:rFonts w:ascii="Times New Roman" w:hAnsi="Times New Roman" w:eastAsia="宋体" w:cs="Times New Roman"/>
                          <w:color w:val="000000"/>
                          <w:kern w:val="2"/>
                          <w:sz w:val="21"/>
                          <w:szCs w:val="20"/>
                          <w:shd w:val="clear" w:color="auto" w:fill="FFFFFF"/>
                        </w:rPr>
                        <w:t>年因公出国（境）经费预算数为0.00万元，在实际执行中根据计划据实调配。</w:t>
                      </w:r>
                    </w:p>
                    <w:p>
                      <w:pPr>
                        <w:shd w:val="solid" w:color="FFFFFF" w:fill="auto"/>
                        <w:overflowPunct w:val="0"/>
                        <w:autoSpaceDN w:val="0"/>
                        <w:spacing w:line="420" w:lineRule="exact"/>
                        <w:ind w:firstLine="420" w:firstLineChars="200"/>
                        <w:rPr>
                          <w:rFonts w:ascii="Times New Roman" w:hAnsi="Times New Roman" w:eastAsia="宋体" w:cs="Times New Roman"/>
                          <w:bCs/>
                          <w:color w:val="000000"/>
                          <w:kern w:val="2"/>
                          <w:sz w:val="21"/>
                          <w:szCs w:val="20"/>
                        </w:rPr>
                      </w:pPr>
                      <w:r>
                        <w:rPr>
                          <w:rFonts w:hint="eastAsia" w:ascii="宋体" w:hAnsi="宋体" w:eastAsia="宋体" w:cs="宋体"/>
                          <w:color w:val="000000"/>
                          <w:kern w:val="2"/>
                          <w:sz w:val="21"/>
                          <w:szCs w:val="20"/>
                        </w:rPr>
                        <w:t>（二）</w:t>
                      </w:r>
                      <w:r>
                        <w:rPr>
                          <w:rFonts w:ascii="Times New Roman" w:hAnsi="Times New Roman" w:eastAsia="宋体" w:cs="Times New Roman"/>
                          <w:color w:val="000000"/>
                          <w:kern w:val="2"/>
                          <w:sz w:val="21"/>
                          <w:szCs w:val="20"/>
                        </w:rPr>
                        <w:t>公务接待费。</w:t>
                      </w:r>
                      <w:r>
                        <w:rPr>
                          <w:rFonts w:hint="eastAsia" w:ascii="Times New Roman" w:hAnsi="Times New Roman" w:eastAsia="宋体" w:cs="Times New Roman"/>
                          <w:color w:val="000000"/>
                          <w:kern w:val="2"/>
                          <w:sz w:val="21"/>
                          <w:szCs w:val="21"/>
                          <w:lang w:eastAsia="zh-CN"/>
                        </w:rPr>
                        <w:t>2024</w:t>
                      </w:r>
                      <w:r>
                        <w:rPr>
                          <w:rFonts w:ascii="Times New Roman" w:hAnsi="Times New Roman" w:eastAsia="宋体" w:cs="Times New Roman"/>
                          <w:color w:val="000000"/>
                          <w:kern w:val="2"/>
                          <w:sz w:val="21"/>
                          <w:szCs w:val="20"/>
                        </w:rPr>
                        <w:t>年预算数</w:t>
                      </w:r>
                      <w:r>
                        <w:rPr>
                          <w:rFonts w:hint="eastAsia" w:cs="Times New Roman"/>
                          <w:color w:val="000000"/>
                          <w:kern w:val="2"/>
                          <w:sz w:val="21"/>
                          <w:szCs w:val="21"/>
                          <w:lang w:val="en-US" w:eastAsia="zh-CN"/>
                        </w:rPr>
                        <w:t>0.4</w:t>
                      </w:r>
                      <w:r>
                        <w:rPr>
                          <w:rFonts w:ascii="Times New Roman" w:hAnsi="Times New Roman" w:eastAsia="宋体" w:cs="Times New Roman"/>
                          <w:color w:val="000000"/>
                          <w:kern w:val="2"/>
                          <w:sz w:val="21"/>
                          <w:szCs w:val="20"/>
                        </w:rPr>
                        <w:t>万元，</w:t>
                      </w:r>
                      <w:r>
                        <w:rPr>
                          <w:rFonts w:ascii="Times New Roman" w:hAnsi="Times New Roman" w:eastAsia="宋体" w:cs="Times New Roman"/>
                          <w:bCs/>
                          <w:color w:val="000000"/>
                          <w:kern w:val="2"/>
                          <w:sz w:val="21"/>
                          <w:szCs w:val="21"/>
                        </w:rPr>
                        <w:t>与</w:t>
                      </w:r>
                      <w:r>
                        <w:rPr>
                          <w:rFonts w:hint="eastAsia" w:ascii="Times New Roman" w:hAnsi="Times New Roman" w:eastAsia="宋体" w:cs="Times New Roman"/>
                          <w:bCs/>
                          <w:color w:val="000000"/>
                          <w:kern w:val="2"/>
                          <w:sz w:val="21"/>
                          <w:szCs w:val="21"/>
                          <w:lang w:eastAsia="zh-CN"/>
                        </w:rPr>
                        <w:t>2023</w:t>
                      </w:r>
                      <w:r>
                        <w:rPr>
                          <w:rFonts w:ascii="Times New Roman" w:hAnsi="Times New Roman" w:eastAsia="宋体" w:cs="Times New Roman"/>
                          <w:bCs/>
                          <w:color w:val="000000"/>
                          <w:kern w:val="2"/>
                          <w:sz w:val="21"/>
                          <w:szCs w:val="21"/>
                        </w:rPr>
                        <w:t>年预算数相比无变化</w:t>
                      </w:r>
                      <w:r>
                        <w:rPr>
                          <w:rFonts w:ascii="Times New Roman" w:hAnsi="Times New Roman" w:eastAsia="宋体" w:cs="Times New Roman"/>
                          <w:color w:val="000000"/>
                          <w:kern w:val="2"/>
                          <w:sz w:val="21"/>
                          <w:szCs w:val="20"/>
                        </w:rPr>
                        <w:t>。</w:t>
                      </w:r>
                      <w:r>
                        <w:rPr>
                          <w:rFonts w:ascii="Times New Roman" w:hAnsi="Times New Roman" w:eastAsia="宋体" w:cs="Times New Roman"/>
                          <w:bCs/>
                          <w:color w:val="000000"/>
                          <w:kern w:val="2"/>
                          <w:sz w:val="21"/>
                          <w:szCs w:val="21"/>
                        </w:rPr>
                        <w:t>主要用于日常接待市外各级各地人员来福田学习、考察、调研，按规定开支的各类公务接待支出。</w:t>
                      </w:r>
                    </w:p>
                    <w:p>
                      <w:pPr>
                        <w:shd w:val="solid" w:color="FFFFFF" w:fill="auto"/>
                        <w:overflowPunct w:val="0"/>
                        <w:autoSpaceDN w:val="0"/>
                        <w:spacing w:line="420" w:lineRule="exact"/>
                        <w:ind w:firstLine="420" w:firstLineChars="200"/>
                        <w:rPr>
                          <w:rFonts w:ascii="Times New Roman" w:hAnsi="Times New Roman" w:eastAsia="黑体" w:cs="Times New Roman"/>
                          <w:i/>
                          <w:iCs/>
                          <w:color w:val="000000"/>
                          <w:kern w:val="2"/>
                          <w:sz w:val="21"/>
                          <w:szCs w:val="20"/>
                          <w:u w:val="single"/>
                        </w:rPr>
                      </w:pPr>
                      <w:r>
                        <w:rPr>
                          <w:rFonts w:hint="eastAsia" w:ascii="宋体" w:hAnsi="宋体" w:eastAsia="宋体" w:cs="宋体"/>
                          <w:color w:val="000000"/>
                          <w:kern w:val="2"/>
                          <w:sz w:val="21"/>
                          <w:szCs w:val="20"/>
                        </w:rPr>
                        <w:t>（三）</w:t>
                      </w:r>
                      <w:r>
                        <w:rPr>
                          <w:rFonts w:ascii="Times New Roman" w:hAnsi="Times New Roman" w:eastAsia="宋体" w:cs="Times New Roman"/>
                          <w:color w:val="000000"/>
                          <w:kern w:val="2"/>
                          <w:sz w:val="21"/>
                          <w:szCs w:val="20"/>
                        </w:rPr>
                        <w:t>公务用车购置和运行维护费。</w:t>
                      </w:r>
                      <w:r>
                        <w:rPr>
                          <w:rFonts w:hint="eastAsia" w:ascii="Times New Roman" w:hAnsi="Times New Roman" w:eastAsia="宋体" w:cs="Times New Roman"/>
                          <w:color w:val="000000"/>
                          <w:kern w:val="2"/>
                          <w:sz w:val="21"/>
                          <w:szCs w:val="21"/>
                          <w:lang w:eastAsia="zh-CN"/>
                        </w:rPr>
                        <w:t>2024</w:t>
                      </w:r>
                      <w:r>
                        <w:rPr>
                          <w:rFonts w:ascii="Times New Roman" w:hAnsi="Times New Roman" w:eastAsia="宋体" w:cs="Times New Roman"/>
                          <w:color w:val="000000"/>
                          <w:kern w:val="2"/>
                          <w:sz w:val="21"/>
                          <w:szCs w:val="20"/>
                        </w:rPr>
                        <w:t>年预算数</w:t>
                      </w:r>
                      <w:r>
                        <w:rPr>
                          <w:rFonts w:hint="eastAsia" w:ascii="Times New Roman" w:hAnsi="Times New Roman" w:eastAsia="宋体" w:cs="Times New Roman"/>
                          <w:color w:val="000000"/>
                          <w:kern w:val="2"/>
                          <w:sz w:val="21"/>
                          <w:szCs w:val="20"/>
                          <w:lang w:val="en-US" w:eastAsia="zh-CN"/>
                        </w:rPr>
                        <w:t>2</w:t>
                      </w:r>
                      <w:r>
                        <w:rPr>
                          <w:rFonts w:ascii="Times New Roman" w:hAnsi="Times New Roman" w:eastAsia="宋体" w:cs="Times New Roman"/>
                          <w:color w:val="000000"/>
                          <w:kern w:val="2"/>
                          <w:sz w:val="21"/>
                          <w:szCs w:val="20"/>
                        </w:rPr>
                        <w:t>万元，其中：公务用车购置费</w:t>
                      </w:r>
                      <w:r>
                        <w:rPr>
                          <w:rFonts w:hint="eastAsia" w:ascii="Times New Roman" w:hAnsi="Times New Roman" w:eastAsia="宋体" w:cs="Times New Roman"/>
                          <w:color w:val="000000"/>
                          <w:kern w:val="2"/>
                          <w:sz w:val="21"/>
                          <w:szCs w:val="21"/>
                          <w:lang w:eastAsia="zh-CN"/>
                        </w:rPr>
                        <w:t>2024</w:t>
                      </w:r>
                      <w:r>
                        <w:rPr>
                          <w:rFonts w:ascii="Times New Roman" w:hAnsi="Times New Roman" w:eastAsia="宋体" w:cs="Times New Roman"/>
                          <w:color w:val="000000"/>
                          <w:kern w:val="2"/>
                          <w:sz w:val="21"/>
                          <w:szCs w:val="20"/>
                        </w:rPr>
                        <w:t>年预算数</w:t>
                      </w:r>
                      <w:r>
                        <w:rPr>
                          <w:rFonts w:ascii="Times New Roman" w:hAnsi="Times New Roman" w:eastAsia="宋体" w:cs="Times New Roman"/>
                          <w:color w:val="000000"/>
                          <w:kern w:val="2"/>
                          <w:sz w:val="21"/>
                          <w:szCs w:val="21"/>
                        </w:rPr>
                        <w:t>0.00</w:t>
                      </w:r>
                      <w:r>
                        <w:rPr>
                          <w:rFonts w:ascii="Times New Roman" w:hAnsi="Times New Roman" w:eastAsia="宋体" w:cs="Times New Roman"/>
                          <w:color w:val="000000"/>
                          <w:kern w:val="2"/>
                          <w:sz w:val="21"/>
                          <w:szCs w:val="20"/>
                        </w:rPr>
                        <w:t>万元，</w:t>
                      </w:r>
                      <w:r>
                        <w:rPr>
                          <w:rFonts w:ascii="Times New Roman" w:hAnsi="Times New Roman" w:eastAsia="宋体" w:cs="Times New Roman"/>
                          <w:bCs/>
                          <w:color w:val="000000"/>
                          <w:kern w:val="2"/>
                          <w:sz w:val="21"/>
                          <w:szCs w:val="21"/>
                        </w:rPr>
                        <w:t>与</w:t>
                      </w:r>
                      <w:r>
                        <w:rPr>
                          <w:rFonts w:hint="eastAsia" w:ascii="Times New Roman" w:hAnsi="Times New Roman" w:eastAsia="宋体" w:cs="Times New Roman"/>
                          <w:bCs/>
                          <w:color w:val="000000"/>
                          <w:kern w:val="2"/>
                          <w:sz w:val="21"/>
                          <w:szCs w:val="21"/>
                          <w:lang w:eastAsia="zh-CN"/>
                        </w:rPr>
                        <w:t>2023</w:t>
                      </w:r>
                      <w:r>
                        <w:rPr>
                          <w:rFonts w:ascii="Times New Roman" w:hAnsi="Times New Roman" w:eastAsia="宋体" w:cs="Times New Roman"/>
                          <w:bCs/>
                          <w:color w:val="000000"/>
                          <w:kern w:val="2"/>
                          <w:sz w:val="21"/>
                          <w:szCs w:val="21"/>
                        </w:rPr>
                        <w:t>年预算数相比无变化</w:t>
                      </w:r>
                      <w:r>
                        <w:rPr>
                          <w:rFonts w:ascii="Times New Roman" w:hAnsi="Times New Roman" w:eastAsia="宋体" w:cs="Times New Roman"/>
                          <w:color w:val="000000"/>
                          <w:kern w:val="2"/>
                          <w:sz w:val="21"/>
                          <w:szCs w:val="20"/>
                        </w:rPr>
                        <w:t>；公务用车运行维护费</w:t>
                      </w:r>
                      <w:r>
                        <w:rPr>
                          <w:rFonts w:hint="eastAsia" w:ascii="Times New Roman" w:hAnsi="Times New Roman" w:eastAsia="宋体" w:cs="Times New Roman"/>
                          <w:color w:val="000000"/>
                          <w:kern w:val="2"/>
                          <w:sz w:val="21"/>
                          <w:szCs w:val="21"/>
                          <w:lang w:eastAsia="zh-CN"/>
                        </w:rPr>
                        <w:t>2024</w:t>
                      </w:r>
                      <w:r>
                        <w:rPr>
                          <w:rFonts w:ascii="Times New Roman" w:hAnsi="Times New Roman" w:eastAsia="宋体" w:cs="Times New Roman"/>
                          <w:color w:val="000000"/>
                          <w:kern w:val="2"/>
                          <w:sz w:val="21"/>
                          <w:szCs w:val="20"/>
                        </w:rPr>
                        <w:t>年预算数</w:t>
                      </w:r>
                      <w:r>
                        <w:rPr>
                          <w:rFonts w:hint="eastAsia" w:cs="Times New Roman"/>
                          <w:color w:val="000000"/>
                          <w:kern w:val="2"/>
                          <w:sz w:val="21"/>
                          <w:szCs w:val="21"/>
                          <w:lang w:val="en-US" w:eastAsia="zh-CN"/>
                        </w:rPr>
                        <w:t>2</w:t>
                      </w:r>
                      <w:r>
                        <w:rPr>
                          <w:rFonts w:ascii="Times New Roman" w:hAnsi="Times New Roman" w:eastAsia="宋体" w:cs="Times New Roman"/>
                          <w:color w:val="000000"/>
                          <w:kern w:val="2"/>
                          <w:sz w:val="21"/>
                          <w:szCs w:val="20"/>
                        </w:rPr>
                        <w:t>万元，</w:t>
                      </w:r>
                      <w:r>
                        <w:rPr>
                          <w:rFonts w:ascii="Times New Roman" w:hAnsi="Times New Roman" w:eastAsia="宋体" w:cs="Times New Roman"/>
                          <w:bCs/>
                          <w:color w:val="000000"/>
                          <w:kern w:val="2"/>
                          <w:sz w:val="21"/>
                          <w:szCs w:val="21"/>
                        </w:rPr>
                        <w:t>与</w:t>
                      </w:r>
                      <w:r>
                        <w:rPr>
                          <w:rFonts w:hint="eastAsia" w:ascii="Times New Roman" w:hAnsi="Times New Roman" w:eastAsia="宋体" w:cs="Times New Roman"/>
                          <w:bCs/>
                          <w:color w:val="000000"/>
                          <w:kern w:val="2"/>
                          <w:sz w:val="21"/>
                          <w:szCs w:val="21"/>
                          <w:lang w:eastAsia="zh-CN"/>
                        </w:rPr>
                        <w:t>2023</w:t>
                      </w:r>
                      <w:r>
                        <w:rPr>
                          <w:rFonts w:ascii="Times New Roman" w:hAnsi="Times New Roman" w:eastAsia="宋体" w:cs="Times New Roman"/>
                          <w:bCs/>
                          <w:color w:val="000000"/>
                          <w:kern w:val="2"/>
                          <w:sz w:val="21"/>
                          <w:szCs w:val="21"/>
                        </w:rPr>
                        <w:t>年预算数</w:t>
                      </w:r>
                      <w:r>
                        <w:rPr>
                          <w:rFonts w:hint="eastAsia" w:ascii="Times New Roman" w:hAnsi="Times New Roman" w:eastAsia="宋体" w:cs="Times New Roman"/>
                          <w:bCs/>
                          <w:color w:val="000000"/>
                          <w:kern w:val="2"/>
                          <w:sz w:val="21"/>
                          <w:szCs w:val="21"/>
                          <w:lang w:val="en-US" w:eastAsia="zh-CN"/>
                        </w:rPr>
                        <w:t>相比减少1万元</w:t>
                      </w:r>
                      <w:r>
                        <w:rPr>
                          <w:rFonts w:ascii="Times New Roman" w:hAnsi="Times New Roman" w:eastAsia="宋体" w:cs="Times New Roman"/>
                          <w:color w:val="000000"/>
                          <w:kern w:val="2"/>
                          <w:sz w:val="21"/>
                          <w:szCs w:val="20"/>
                        </w:rPr>
                        <w:t>。本单位共有车辆</w:t>
                      </w:r>
                      <w:r>
                        <w:rPr>
                          <w:rFonts w:hint="eastAsia" w:cs="Times New Roman"/>
                          <w:color w:val="000000"/>
                          <w:kern w:val="2"/>
                          <w:sz w:val="21"/>
                          <w:szCs w:val="20"/>
                          <w:lang w:val="en-US" w:eastAsia="zh-CN"/>
                        </w:rPr>
                        <w:t>1</w:t>
                      </w:r>
                      <w:r>
                        <w:rPr>
                          <w:rFonts w:ascii="Times New Roman" w:hAnsi="Times New Roman" w:eastAsia="宋体" w:cs="Times New Roman"/>
                          <w:color w:val="000000"/>
                          <w:kern w:val="2"/>
                          <w:sz w:val="21"/>
                          <w:szCs w:val="20"/>
                        </w:rPr>
                        <w:t>辆，为机要通信用车，都是本级所有。主要用于办理公务、机要通信、处置突发事件等业务活动开支的公务用车运行支出。</w:t>
                      </w:r>
                    </w:p>
                    <w:p>
                      <w:pPr>
                        <w:pBdr>
                          <w:top w:val="none" w:color="auto" w:sz="0" w:space="0"/>
                          <w:left w:val="none" w:color="auto" w:sz="0" w:space="0"/>
                          <w:bottom w:val="none" w:color="auto" w:sz="0" w:space="0"/>
                          <w:right w:val="none" w:color="auto" w:sz="0" w:space="0"/>
                          <w:between w:val="none" w:color="auto" w:sz="0" w:space="0"/>
                        </w:pBdr>
                        <w:jc w:val="both"/>
                        <w:rPr>
                          <w:rFonts w:hint="eastAsia" w:ascii="宋体" w:hAnsi="宋体" w:cs="宋体"/>
                          <w:color w:val="000000"/>
                          <w:sz w:val="20"/>
                          <w:szCs w:val="20"/>
                          <w:lang w:eastAsia="zh-CN"/>
                        </w:rPr>
                      </w:pPr>
                    </w:p>
                    <w:p>
                      <w:pPr>
                        <w:pBdr>
                          <w:top w:val="none" w:color="auto" w:sz="0" w:space="0"/>
                          <w:left w:val="none" w:color="auto" w:sz="0" w:space="0"/>
                          <w:bottom w:val="none" w:color="auto" w:sz="0" w:space="0"/>
                          <w:right w:val="none" w:color="auto" w:sz="0" w:space="0"/>
                          <w:between w:val="none" w:color="auto" w:sz="0" w:space="0"/>
                        </w:pBdr>
                        <w:jc w:val="both"/>
                        <w:outlineLvl w:val="0"/>
                        <w:rPr>
                          <w:rFonts w:hint="eastAsia" w:ascii="宋体" w:hAnsi="宋体" w:cs="宋体"/>
                          <w:color w:val="000000"/>
                          <w:sz w:val="20"/>
                          <w:szCs w:val="20"/>
                          <w:lang w:eastAsia="zh-CN"/>
                        </w:rPr>
                      </w:pPr>
                      <w:r>
                        <w:rPr>
                          <w:rFonts w:hint="eastAsia" w:ascii="宋体" w:hAnsi="宋体" w:cs="宋体"/>
                          <w:color w:val="000000"/>
                          <w:sz w:val="20"/>
                          <w:szCs w:val="20"/>
                          <w:lang w:eastAsia="zh-CN"/>
                        </w:rPr>
                        <w:t>附表：</w:t>
                      </w:r>
                    </w:p>
                    <w:p>
                      <w:pPr>
                        <w:pBdr>
                          <w:top w:val="none" w:color="auto" w:sz="0" w:space="0"/>
                          <w:left w:val="none" w:color="auto" w:sz="0" w:space="0"/>
                          <w:bottom w:val="none" w:color="auto" w:sz="0" w:space="0"/>
                          <w:right w:val="none" w:color="auto" w:sz="0" w:space="0"/>
                          <w:between w:val="none" w:color="auto" w:sz="0" w:space="0"/>
                        </w:pBdr>
                        <w:jc w:val="center"/>
                        <w:outlineLvl w:val="0"/>
                        <w:rPr>
                          <w:rFonts w:hint="eastAsia" w:ascii="宋体" w:hAnsi="宋体" w:cs="宋体"/>
                          <w:b/>
                          <w:bCs/>
                          <w:color w:val="000000"/>
                          <w:sz w:val="20"/>
                          <w:szCs w:val="20"/>
                        </w:rPr>
                      </w:pPr>
                      <w:r>
                        <w:rPr>
                          <w:rFonts w:hint="eastAsia" w:ascii="宋体" w:hAnsi="宋体" w:cs="宋体"/>
                          <w:b/>
                          <w:bCs/>
                          <w:color w:val="000000"/>
                          <w:sz w:val="20"/>
                          <w:szCs w:val="20"/>
                        </w:rPr>
                        <w:t>“三公”经费财政拨款预算情况表</w:t>
                      </w:r>
                    </w:p>
                    <w:tbl>
                      <w:tblPr>
                        <w:tblStyle w:val="4"/>
                        <w:tblW w:w="4998" w:type="pct"/>
                        <w:jc w:val="center"/>
                        <w:tblLayout w:type="autofit"/>
                        <w:tblCellMar>
                          <w:top w:w="0" w:type="dxa"/>
                          <w:left w:w="108" w:type="dxa"/>
                          <w:bottom w:w="0" w:type="dxa"/>
                          <w:right w:w="108" w:type="dxa"/>
                        </w:tblCellMar>
                      </w:tblPr>
                      <w:tblGrid>
                        <w:gridCol w:w="2776"/>
                        <w:gridCol w:w="1270"/>
                        <w:gridCol w:w="1439"/>
                        <w:gridCol w:w="869"/>
                        <w:gridCol w:w="826"/>
                        <w:gridCol w:w="917"/>
                        <w:gridCol w:w="814"/>
                        <w:gridCol w:w="945"/>
                      </w:tblGrid>
                      <w:tr>
                        <w:tblPrEx>
                          <w:tblCellMar>
                            <w:top w:w="0" w:type="dxa"/>
                            <w:left w:w="108" w:type="dxa"/>
                            <w:bottom w:w="0" w:type="dxa"/>
                            <w:right w:w="108" w:type="dxa"/>
                          </w:tblCellMar>
                        </w:tblPrEx>
                        <w:trPr>
                          <w:trHeight w:val="358" w:hRule="atLeast"/>
                          <w:jc w:val="center"/>
                        </w:trPr>
                        <w:tc>
                          <w:tcPr>
                            <w:tcW w:w="4107" w:type="pct"/>
                            <w:gridSpan w:val="6"/>
                            <w:tcBorders>
                              <w:top w:val="nil"/>
                              <w:left w:val="nil"/>
                              <w:bottom w:val="nil"/>
                              <w:right w:val="nil"/>
                            </w:tcBorders>
                            <w:noWrap w:val="0"/>
                            <w:vAlign w:val="center"/>
                          </w:tcPr>
                          <w:p>
                            <w:pPr>
                              <w:shd w:val="clear" w:color="auto" w:fill="auto"/>
                              <w:overflowPunct w:val="0"/>
                              <w:jc w:val="left"/>
                              <w:rPr>
                                <w:rFonts w:hint="eastAsia" w:ascii="Times New Roman" w:hAnsi="Times New Roman" w:eastAsia="宋体" w:cs="Times New Roman"/>
                                <w:color w:val="000000"/>
                                <w:kern w:val="2"/>
                                <w:sz w:val="21"/>
                                <w:szCs w:val="20"/>
                                <w:lang w:eastAsia="zh-CN"/>
                              </w:rPr>
                            </w:pPr>
                            <w:r>
                              <w:rPr>
                                <w:rFonts w:ascii="Times New Roman" w:hAnsi="Times New Roman" w:eastAsia="宋体" w:cs="Times New Roman"/>
                                <w:color w:val="000000"/>
                                <w:kern w:val="0"/>
                                <w:sz w:val="21"/>
                                <w:szCs w:val="20"/>
                              </w:rPr>
                              <w:t>单位名称:中共深圳市福田区委</w:t>
                            </w:r>
                            <w:r>
                              <w:rPr>
                                <w:rFonts w:hint="eastAsia" w:cs="Times New Roman"/>
                                <w:color w:val="000000"/>
                                <w:kern w:val="0"/>
                                <w:sz w:val="21"/>
                                <w:szCs w:val="20"/>
                                <w:lang w:eastAsia="zh-CN"/>
                              </w:rPr>
                              <w:t>机构编制委员会办公室</w:t>
                            </w:r>
                          </w:p>
                        </w:tc>
                        <w:tc>
                          <w:tcPr>
                            <w:tcW w:w="892" w:type="pct"/>
                            <w:gridSpan w:val="2"/>
                            <w:tcBorders>
                              <w:top w:val="nil"/>
                              <w:left w:val="nil"/>
                              <w:bottom w:val="nil"/>
                              <w:right w:val="nil"/>
                            </w:tcBorders>
                            <w:noWrap w:val="0"/>
                            <w:vAlign w:val="center"/>
                          </w:tcPr>
                          <w:p>
                            <w:pPr>
                              <w:shd w:val="clear" w:color="auto" w:fill="auto"/>
                              <w:overflowPunct w:val="0"/>
                              <w:jc w:val="right"/>
                              <w:textAlignment w:val="center"/>
                              <w:rPr>
                                <w:rFonts w:ascii="Times New Roman" w:hAnsi="Times New Roman" w:eastAsia="宋体" w:cs="Times New Roman"/>
                                <w:color w:val="000000"/>
                                <w:kern w:val="2"/>
                                <w:sz w:val="20"/>
                                <w:szCs w:val="20"/>
                              </w:rPr>
                            </w:pPr>
                            <w:r>
                              <w:rPr>
                                <w:rFonts w:ascii="Times New Roman" w:hAnsi="Times New Roman" w:eastAsia="宋体" w:cs="Times New Roman"/>
                                <w:color w:val="000000"/>
                                <w:kern w:val="0"/>
                                <w:sz w:val="21"/>
                                <w:szCs w:val="20"/>
                              </w:rPr>
                              <w:t>单位：万元</w:t>
                            </w:r>
                          </w:p>
                        </w:tc>
                      </w:tr>
                      <w:tr>
                        <w:tblPrEx>
                          <w:tblCellMar>
                            <w:top w:w="0" w:type="dxa"/>
                            <w:left w:w="108" w:type="dxa"/>
                            <w:bottom w:w="0" w:type="dxa"/>
                            <w:right w:w="108" w:type="dxa"/>
                          </w:tblCellMar>
                        </w:tblPrEx>
                        <w:trPr>
                          <w:trHeight w:val="482" w:hRule="atLeast"/>
                          <w:jc w:val="center"/>
                        </w:trPr>
                        <w:tc>
                          <w:tcPr>
                            <w:tcW w:w="1408" w:type="pct"/>
                            <w:vMerge w:val="restar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预算单位</w:t>
                            </w:r>
                          </w:p>
                        </w:tc>
                        <w:tc>
                          <w:tcPr>
                            <w:tcW w:w="644" w:type="pct"/>
                            <w:vMerge w:val="restar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年度</w:t>
                            </w:r>
                          </w:p>
                        </w:tc>
                        <w:tc>
                          <w:tcPr>
                            <w:tcW w:w="730" w:type="pct"/>
                            <w:vMerge w:val="restar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“三公”经费财政拨款预算总额</w:t>
                            </w:r>
                          </w:p>
                        </w:tc>
                        <w:tc>
                          <w:tcPr>
                            <w:tcW w:w="441" w:type="pct"/>
                            <w:vMerge w:val="restar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因公出国(境)费</w:t>
                            </w:r>
                          </w:p>
                        </w:tc>
                        <w:tc>
                          <w:tcPr>
                            <w:tcW w:w="419" w:type="pct"/>
                            <w:vMerge w:val="restar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公务接待费</w:t>
                            </w:r>
                          </w:p>
                        </w:tc>
                        <w:tc>
                          <w:tcPr>
                            <w:tcW w:w="1356" w:type="pct"/>
                            <w:gridSpan w:val="3"/>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0"/>
                                <w:szCs w:val="20"/>
                              </w:rPr>
                            </w:pPr>
                            <w:r>
                              <w:rPr>
                                <w:rFonts w:ascii="Times New Roman" w:hAnsi="Times New Roman" w:eastAsia="宋体" w:cs="Times New Roman"/>
                                <w:color w:val="000000"/>
                                <w:kern w:val="0"/>
                                <w:sz w:val="21"/>
                                <w:szCs w:val="20"/>
                              </w:rPr>
                              <w:t>公务用车购置及运行维护费</w:t>
                            </w:r>
                          </w:p>
                        </w:tc>
                      </w:tr>
                      <w:tr>
                        <w:tblPrEx>
                          <w:tblCellMar>
                            <w:top w:w="0" w:type="dxa"/>
                            <w:left w:w="108" w:type="dxa"/>
                            <w:bottom w:w="0" w:type="dxa"/>
                            <w:right w:w="108" w:type="dxa"/>
                          </w:tblCellMar>
                        </w:tblPrEx>
                        <w:trPr>
                          <w:trHeight w:val="970" w:hRule="atLeast"/>
                          <w:jc w:val="center"/>
                        </w:trPr>
                        <w:tc>
                          <w:tcPr>
                            <w:tcW w:w="1408" w:type="pct"/>
                            <w:vMerge w:val="continue"/>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rPr>
                                <w:rFonts w:ascii="Times New Roman" w:hAnsi="Times New Roman" w:eastAsia="宋体" w:cs="Times New Roman"/>
                                <w:color w:val="000000"/>
                                <w:kern w:val="2"/>
                                <w:sz w:val="20"/>
                                <w:szCs w:val="20"/>
                              </w:rPr>
                            </w:pPr>
                          </w:p>
                        </w:tc>
                        <w:tc>
                          <w:tcPr>
                            <w:tcW w:w="644" w:type="pct"/>
                            <w:vMerge w:val="continue"/>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rPr>
                                <w:rFonts w:ascii="Times New Roman" w:hAnsi="Times New Roman" w:eastAsia="宋体" w:cs="Times New Roman"/>
                                <w:color w:val="000000"/>
                                <w:kern w:val="2"/>
                                <w:sz w:val="20"/>
                                <w:szCs w:val="20"/>
                              </w:rPr>
                            </w:pPr>
                          </w:p>
                        </w:tc>
                        <w:tc>
                          <w:tcPr>
                            <w:tcW w:w="730" w:type="pct"/>
                            <w:vMerge w:val="continue"/>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rPr>
                                <w:rFonts w:ascii="Times New Roman" w:hAnsi="Times New Roman" w:eastAsia="宋体" w:cs="Times New Roman"/>
                                <w:color w:val="000000"/>
                                <w:kern w:val="2"/>
                                <w:sz w:val="20"/>
                                <w:szCs w:val="20"/>
                              </w:rPr>
                            </w:pPr>
                          </w:p>
                        </w:tc>
                        <w:tc>
                          <w:tcPr>
                            <w:tcW w:w="441" w:type="pct"/>
                            <w:vMerge w:val="continue"/>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rPr>
                                <w:rFonts w:ascii="Times New Roman" w:hAnsi="Times New Roman" w:eastAsia="宋体" w:cs="Times New Roman"/>
                                <w:color w:val="000000"/>
                                <w:kern w:val="2"/>
                                <w:sz w:val="20"/>
                                <w:szCs w:val="20"/>
                              </w:rPr>
                            </w:pPr>
                          </w:p>
                        </w:tc>
                        <w:tc>
                          <w:tcPr>
                            <w:tcW w:w="419" w:type="pct"/>
                            <w:vMerge w:val="continue"/>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rPr>
                                <w:rFonts w:ascii="Times New Roman" w:hAnsi="Times New Roman" w:eastAsia="宋体" w:cs="Times New Roman"/>
                                <w:color w:val="000000"/>
                                <w:kern w:val="2"/>
                                <w:sz w:val="21"/>
                                <w:szCs w:val="20"/>
                              </w:rPr>
                            </w:pPr>
                          </w:p>
                        </w:tc>
                        <w:tc>
                          <w:tcPr>
                            <w:tcW w:w="464"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小计</w:t>
                            </w:r>
                          </w:p>
                        </w:tc>
                        <w:tc>
                          <w:tcPr>
                            <w:tcW w:w="413"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公务用车购置费</w:t>
                            </w:r>
                          </w:p>
                        </w:tc>
                        <w:tc>
                          <w:tcPr>
                            <w:tcW w:w="478"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0"/>
                                <w:szCs w:val="20"/>
                              </w:rPr>
                            </w:pPr>
                            <w:r>
                              <w:rPr>
                                <w:rFonts w:ascii="Times New Roman" w:hAnsi="Times New Roman" w:eastAsia="宋体" w:cs="Times New Roman"/>
                                <w:color w:val="000000"/>
                                <w:kern w:val="0"/>
                                <w:sz w:val="21"/>
                                <w:szCs w:val="20"/>
                              </w:rPr>
                              <w:t>公务用车运行维护费</w:t>
                            </w:r>
                          </w:p>
                        </w:tc>
                      </w:tr>
                      <w:tr>
                        <w:tblPrEx>
                          <w:tblCellMar>
                            <w:top w:w="0" w:type="dxa"/>
                            <w:left w:w="108" w:type="dxa"/>
                            <w:bottom w:w="0" w:type="dxa"/>
                            <w:right w:w="108" w:type="dxa"/>
                          </w:tblCellMar>
                        </w:tblPrEx>
                        <w:trPr>
                          <w:trHeight w:val="650" w:hRule="atLeast"/>
                          <w:jc w:val="center"/>
                        </w:trPr>
                        <w:tc>
                          <w:tcPr>
                            <w:tcW w:w="1408" w:type="pct"/>
                            <w:vMerge w:val="restart"/>
                            <w:tcBorders>
                              <w:top w:val="nil"/>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中共深圳市福田区委</w:t>
                            </w:r>
                            <w:r>
                              <w:rPr>
                                <w:rFonts w:hint="eastAsia" w:cs="Times New Roman"/>
                                <w:color w:val="000000"/>
                                <w:kern w:val="0"/>
                                <w:sz w:val="21"/>
                                <w:szCs w:val="20"/>
                                <w:lang w:eastAsia="zh-CN"/>
                              </w:rPr>
                              <w:t>编制委员会办公室</w:t>
                            </w:r>
                            <w:r>
                              <w:rPr>
                                <w:rFonts w:ascii="Times New Roman" w:hAnsi="Times New Roman" w:eastAsia="宋体" w:cs="Times New Roman"/>
                                <w:color w:val="000000"/>
                                <w:kern w:val="0"/>
                                <w:sz w:val="21"/>
                                <w:szCs w:val="20"/>
                              </w:rPr>
                              <w:t>（本级）</w:t>
                            </w:r>
                          </w:p>
                        </w:tc>
                        <w:tc>
                          <w:tcPr>
                            <w:tcW w:w="1270" w:type="dxa"/>
                            <w:tcBorders>
                              <w:top w:val="nil"/>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hint="eastAsia" w:ascii="Times New Roman" w:hAnsi="Times New Roman" w:eastAsia="宋体" w:cs="Times New Roman"/>
                                <w:color w:val="000000"/>
                                <w:kern w:val="0"/>
                                <w:sz w:val="21"/>
                                <w:szCs w:val="20"/>
                                <w:lang w:eastAsia="zh-CN"/>
                              </w:rPr>
                              <w:t>2023</w:t>
                            </w:r>
                            <w:r>
                              <w:rPr>
                                <w:rFonts w:ascii="Times New Roman" w:hAnsi="Times New Roman" w:eastAsia="宋体" w:cs="Times New Roman"/>
                                <w:color w:val="000000"/>
                                <w:kern w:val="0"/>
                                <w:sz w:val="21"/>
                                <w:szCs w:val="20"/>
                              </w:rPr>
                              <w:t>年</w:t>
                            </w:r>
                          </w:p>
                        </w:tc>
                        <w:tc>
                          <w:tcPr>
                            <w:tcW w:w="1439" w:type="dxa"/>
                            <w:tcBorders>
                              <w:top w:val="nil"/>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hint="default" w:ascii="Times New Roman" w:hAnsi="Times New Roman" w:eastAsia="宋体" w:cs="Times New Roman"/>
                                <w:color w:val="000000"/>
                                <w:kern w:val="2"/>
                                <w:sz w:val="21"/>
                                <w:szCs w:val="20"/>
                                <w:lang w:val="en-US" w:eastAsia="zh-CN"/>
                              </w:rPr>
                            </w:pPr>
                            <w:r>
                              <w:rPr>
                                <w:rFonts w:hint="eastAsia" w:cs="Times New Roman"/>
                                <w:color w:val="000000"/>
                                <w:kern w:val="0"/>
                                <w:sz w:val="21"/>
                                <w:szCs w:val="20"/>
                                <w:lang w:val="en-US" w:eastAsia="zh-CN"/>
                              </w:rPr>
                              <w:t>3.4</w:t>
                            </w:r>
                          </w:p>
                        </w:tc>
                        <w:tc>
                          <w:tcPr>
                            <w:tcW w:w="869" w:type="dxa"/>
                            <w:tcBorders>
                              <w:top w:val="nil"/>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0.00</w:t>
                            </w:r>
                          </w:p>
                        </w:tc>
                        <w:tc>
                          <w:tcPr>
                            <w:tcW w:w="826" w:type="dxa"/>
                            <w:tcBorders>
                              <w:top w:val="nil"/>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hint="default" w:ascii="Times New Roman" w:hAnsi="Times New Roman" w:eastAsia="宋体" w:cs="Times New Roman"/>
                                <w:color w:val="000000"/>
                                <w:kern w:val="2"/>
                                <w:sz w:val="21"/>
                                <w:szCs w:val="20"/>
                                <w:lang w:val="en-US" w:eastAsia="zh-CN"/>
                              </w:rPr>
                            </w:pPr>
                            <w:r>
                              <w:rPr>
                                <w:rFonts w:hint="eastAsia" w:cs="Times New Roman"/>
                                <w:color w:val="000000"/>
                                <w:kern w:val="0"/>
                                <w:sz w:val="21"/>
                                <w:szCs w:val="20"/>
                                <w:lang w:val="en-US" w:eastAsia="zh-CN"/>
                              </w:rPr>
                              <w:t>0.4</w:t>
                            </w:r>
                          </w:p>
                        </w:tc>
                        <w:tc>
                          <w:tcPr>
                            <w:tcW w:w="917" w:type="dxa"/>
                            <w:tcBorders>
                              <w:top w:val="nil"/>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hint="default" w:ascii="Times New Roman" w:hAnsi="Times New Roman" w:eastAsia="宋体" w:cs="Times New Roman"/>
                                <w:color w:val="000000"/>
                                <w:kern w:val="2"/>
                                <w:sz w:val="21"/>
                                <w:szCs w:val="20"/>
                                <w:lang w:val="en-US" w:eastAsia="zh-CN"/>
                              </w:rPr>
                            </w:pPr>
                            <w:r>
                              <w:rPr>
                                <w:rFonts w:hint="eastAsia" w:cs="Times New Roman"/>
                                <w:color w:val="000000"/>
                                <w:kern w:val="0"/>
                                <w:sz w:val="21"/>
                                <w:szCs w:val="20"/>
                                <w:lang w:val="en-US" w:eastAsia="zh-CN"/>
                              </w:rPr>
                              <w:t>3</w:t>
                            </w:r>
                          </w:p>
                        </w:tc>
                        <w:tc>
                          <w:tcPr>
                            <w:tcW w:w="814" w:type="dxa"/>
                            <w:tcBorders>
                              <w:top w:val="nil"/>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0.00</w:t>
                            </w:r>
                          </w:p>
                        </w:tc>
                        <w:tc>
                          <w:tcPr>
                            <w:tcW w:w="945" w:type="dxa"/>
                            <w:tcBorders>
                              <w:top w:val="nil"/>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hint="default" w:ascii="Times New Roman" w:hAnsi="Times New Roman" w:eastAsia="宋体" w:cs="Times New Roman"/>
                                <w:color w:val="000000"/>
                                <w:kern w:val="2"/>
                                <w:sz w:val="20"/>
                                <w:szCs w:val="20"/>
                                <w:lang w:val="en-US" w:eastAsia="zh-CN"/>
                              </w:rPr>
                            </w:pPr>
                            <w:r>
                              <w:rPr>
                                <w:rFonts w:hint="eastAsia" w:cs="Times New Roman"/>
                                <w:color w:val="000000"/>
                                <w:kern w:val="0"/>
                                <w:sz w:val="21"/>
                                <w:szCs w:val="20"/>
                                <w:lang w:val="en-US" w:eastAsia="zh-CN"/>
                              </w:rPr>
                              <w:t>3</w:t>
                            </w:r>
                          </w:p>
                        </w:tc>
                      </w:tr>
                      <w:tr>
                        <w:tblPrEx>
                          <w:tblCellMar>
                            <w:top w:w="0" w:type="dxa"/>
                            <w:left w:w="108" w:type="dxa"/>
                            <w:bottom w:w="0" w:type="dxa"/>
                            <w:right w:w="108" w:type="dxa"/>
                          </w:tblCellMar>
                        </w:tblPrEx>
                        <w:trPr>
                          <w:trHeight w:val="461" w:hRule="atLeast"/>
                          <w:jc w:val="center"/>
                        </w:trPr>
                        <w:tc>
                          <w:tcPr>
                            <w:tcW w:w="1408" w:type="pct"/>
                            <w:vMerge w:val="continue"/>
                            <w:tcBorders>
                              <w:top w:val="nil"/>
                              <w:left w:val="single" w:color="000000" w:sz="4" w:space="0"/>
                              <w:bottom w:val="single" w:color="000000" w:sz="4" w:space="0"/>
                              <w:right w:val="single" w:color="000000" w:sz="4" w:space="0"/>
                            </w:tcBorders>
                            <w:noWrap w:val="0"/>
                            <w:vAlign w:val="center"/>
                          </w:tcPr>
                          <w:p>
                            <w:pPr>
                              <w:shd w:val="clear" w:color="auto" w:fill="auto"/>
                              <w:overflowPunct w:val="0"/>
                              <w:jc w:val="center"/>
                              <w:rPr>
                                <w:rFonts w:ascii="Times New Roman" w:hAnsi="Times New Roman" w:eastAsia="宋体" w:cs="Times New Roman"/>
                                <w:color w:val="000000"/>
                                <w:kern w:val="2"/>
                                <w:sz w:val="21"/>
                                <w:szCs w:val="20"/>
                              </w:rPr>
                            </w:pPr>
                          </w:p>
                        </w:tc>
                        <w:tc>
                          <w:tcPr>
                            <w:tcW w:w="644"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hint="eastAsia" w:ascii="Times New Roman" w:hAnsi="Times New Roman" w:eastAsia="宋体" w:cs="Times New Roman"/>
                                <w:color w:val="000000"/>
                                <w:kern w:val="0"/>
                                <w:sz w:val="21"/>
                                <w:szCs w:val="20"/>
                                <w:lang w:eastAsia="zh-CN"/>
                              </w:rPr>
                              <w:t>2024</w:t>
                            </w:r>
                            <w:r>
                              <w:rPr>
                                <w:rFonts w:ascii="Times New Roman" w:hAnsi="Times New Roman" w:eastAsia="宋体" w:cs="Times New Roman"/>
                                <w:color w:val="000000"/>
                                <w:kern w:val="0"/>
                                <w:sz w:val="21"/>
                                <w:szCs w:val="20"/>
                              </w:rPr>
                              <w:t>年</w:t>
                            </w:r>
                          </w:p>
                        </w:tc>
                        <w:tc>
                          <w:tcPr>
                            <w:tcW w:w="730"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hint="default" w:ascii="Times New Roman" w:hAnsi="Times New Roman" w:eastAsia="宋体" w:cs="Times New Roman"/>
                                <w:color w:val="000000"/>
                                <w:kern w:val="2"/>
                                <w:sz w:val="21"/>
                                <w:szCs w:val="20"/>
                                <w:lang w:val="en-US" w:eastAsia="zh-CN"/>
                              </w:rPr>
                            </w:pPr>
                            <w:r>
                              <w:rPr>
                                <w:rFonts w:hint="eastAsia" w:cs="Times New Roman"/>
                                <w:color w:val="000000"/>
                                <w:kern w:val="0"/>
                                <w:sz w:val="21"/>
                                <w:szCs w:val="20"/>
                                <w:lang w:val="en-US" w:eastAsia="zh-CN"/>
                              </w:rPr>
                              <w:t>2.4</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0.00</w:t>
                            </w:r>
                          </w:p>
                        </w:tc>
                        <w:tc>
                          <w:tcPr>
                            <w:tcW w:w="419"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hint="default" w:ascii="Times New Roman" w:hAnsi="Times New Roman" w:eastAsia="宋体" w:cs="Times New Roman"/>
                                <w:color w:val="000000"/>
                                <w:kern w:val="2"/>
                                <w:sz w:val="21"/>
                                <w:szCs w:val="20"/>
                                <w:lang w:val="en-US" w:eastAsia="zh-CN"/>
                              </w:rPr>
                            </w:pPr>
                            <w:r>
                              <w:rPr>
                                <w:rFonts w:hint="eastAsia" w:cs="Times New Roman"/>
                                <w:color w:val="000000"/>
                                <w:kern w:val="0"/>
                                <w:sz w:val="21"/>
                                <w:szCs w:val="20"/>
                                <w:lang w:val="en-US" w:eastAsia="zh-CN"/>
                              </w:rPr>
                              <w:t>0.4</w:t>
                            </w:r>
                          </w:p>
                        </w:tc>
                        <w:tc>
                          <w:tcPr>
                            <w:tcW w:w="464"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hint="eastAsia" w:ascii="Times New Roman" w:hAnsi="Times New Roman" w:eastAsia="宋体" w:cs="Times New Roman"/>
                                <w:color w:val="000000"/>
                                <w:kern w:val="2"/>
                                <w:sz w:val="21"/>
                                <w:szCs w:val="20"/>
                                <w:lang w:eastAsia="zh-CN"/>
                              </w:rPr>
                            </w:pPr>
                            <w:r>
                              <w:rPr>
                                <w:rFonts w:hint="eastAsia" w:cs="Times New Roman"/>
                                <w:color w:val="000000"/>
                                <w:kern w:val="0"/>
                                <w:sz w:val="21"/>
                                <w:szCs w:val="20"/>
                                <w:lang w:val="en-US" w:eastAsia="zh-CN"/>
                              </w:rPr>
                              <w:t>2</w:t>
                            </w:r>
                          </w:p>
                        </w:tc>
                        <w:tc>
                          <w:tcPr>
                            <w:tcW w:w="413"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0.00</w:t>
                            </w:r>
                          </w:p>
                        </w:tc>
                        <w:tc>
                          <w:tcPr>
                            <w:tcW w:w="478"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hint="eastAsia" w:ascii="Times New Roman" w:hAnsi="Times New Roman" w:eastAsia="宋体" w:cs="Times New Roman"/>
                                <w:color w:val="000000"/>
                                <w:kern w:val="2"/>
                                <w:sz w:val="20"/>
                                <w:szCs w:val="20"/>
                                <w:lang w:eastAsia="zh-CN"/>
                              </w:rPr>
                            </w:pPr>
                            <w:r>
                              <w:rPr>
                                <w:rFonts w:hint="eastAsia" w:cs="Times New Roman"/>
                                <w:color w:val="000000"/>
                                <w:kern w:val="0"/>
                                <w:sz w:val="21"/>
                                <w:szCs w:val="20"/>
                                <w:lang w:val="en-US" w:eastAsia="zh-CN"/>
                              </w:rPr>
                              <w:t>2</w:t>
                            </w:r>
                          </w:p>
                        </w:tc>
                      </w:tr>
                      <w:tr>
                        <w:tblPrEx>
                          <w:tblCellMar>
                            <w:top w:w="0" w:type="dxa"/>
                            <w:left w:w="108" w:type="dxa"/>
                            <w:bottom w:w="0" w:type="dxa"/>
                            <w:right w:w="108" w:type="dxa"/>
                          </w:tblCellMar>
                        </w:tblPrEx>
                        <w:trPr>
                          <w:trHeight w:val="650" w:hRule="atLeast"/>
                          <w:jc w:val="center"/>
                        </w:trPr>
                        <w:tc>
                          <w:tcPr>
                            <w:tcW w:w="1408" w:type="pct"/>
                            <w:vMerge w:val="continue"/>
                            <w:tcBorders>
                              <w:top w:val="nil"/>
                              <w:left w:val="single" w:color="000000" w:sz="4" w:space="0"/>
                              <w:bottom w:val="single" w:color="000000" w:sz="4" w:space="0"/>
                              <w:right w:val="single" w:color="000000" w:sz="4" w:space="0"/>
                            </w:tcBorders>
                            <w:noWrap w:val="0"/>
                            <w:vAlign w:val="center"/>
                          </w:tcPr>
                          <w:p>
                            <w:pPr>
                              <w:shd w:val="clear" w:color="auto" w:fill="auto"/>
                              <w:overflowPunct w:val="0"/>
                              <w:jc w:val="center"/>
                              <w:rPr>
                                <w:rFonts w:ascii="Times New Roman" w:hAnsi="Times New Roman" w:eastAsia="宋体" w:cs="Times New Roman"/>
                                <w:color w:val="000000"/>
                                <w:kern w:val="2"/>
                                <w:sz w:val="21"/>
                                <w:szCs w:val="20"/>
                              </w:rPr>
                            </w:pPr>
                          </w:p>
                        </w:tc>
                        <w:tc>
                          <w:tcPr>
                            <w:tcW w:w="644"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增减变化金额</w:t>
                            </w:r>
                          </w:p>
                        </w:tc>
                        <w:tc>
                          <w:tcPr>
                            <w:tcW w:w="730"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hint="default" w:ascii="Times New Roman" w:hAnsi="Times New Roman" w:eastAsia="宋体" w:cs="Times New Roman"/>
                                <w:color w:val="000000"/>
                                <w:kern w:val="2"/>
                                <w:sz w:val="21"/>
                                <w:szCs w:val="20"/>
                                <w:lang w:val="en-US" w:eastAsia="zh-CN"/>
                              </w:rPr>
                            </w:pPr>
                            <w:r>
                              <w:rPr>
                                <w:rFonts w:hint="eastAsia" w:cs="Times New Roman"/>
                                <w:color w:val="000000"/>
                                <w:kern w:val="0"/>
                                <w:sz w:val="21"/>
                                <w:szCs w:val="20"/>
                                <w:lang w:val="en-US" w:eastAsia="zh-CN"/>
                              </w:rPr>
                              <w:t>-1.00</w:t>
                            </w:r>
                          </w:p>
                        </w:tc>
                        <w:tc>
                          <w:tcPr>
                            <w:tcW w:w="441"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0.00</w:t>
                            </w:r>
                          </w:p>
                        </w:tc>
                        <w:tc>
                          <w:tcPr>
                            <w:tcW w:w="419"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0.00</w:t>
                            </w:r>
                          </w:p>
                        </w:tc>
                        <w:tc>
                          <w:tcPr>
                            <w:tcW w:w="464"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hint="default" w:ascii="Times New Roman" w:hAnsi="Times New Roman" w:eastAsia="宋体" w:cs="Times New Roman"/>
                                <w:color w:val="000000"/>
                                <w:kern w:val="2"/>
                                <w:sz w:val="21"/>
                                <w:szCs w:val="20"/>
                                <w:lang w:val="en-US" w:eastAsia="zh-CN"/>
                              </w:rPr>
                            </w:pPr>
                            <w:r>
                              <w:rPr>
                                <w:rFonts w:hint="eastAsia" w:ascii="Times New Roman" w:hAnsi="Times New Roman" w:eastAsia="宋体" w:cs="Times New Roman"/>
                                <w:color w:val="000000"/>
                                <w:kern w:val="0"/>
                                <w:sz w:val="21"/>
                                <w:szCs w:val="20"/>
                                <w:lang w:val="en-US" w:eastAsia="zh-CN"/>
                              </w:rPr>
                              <w:t>-1.00</w:t>
                            </w:r>
                          </w:p>
                        </w:tc>
                        <w:tc>
                          <w:tcPr>
                            <w:tcW w:w="413"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ascii="Times New Roman" w:hAnsi="Times New Roman" w:eastAsia="宋体" w:cs="Times New Roman"/>
                                <w:color w:val="000000"/>
                                <w:kern w:val="2"/>
                                <w:sz w:val="21"/>
                                <w:szCs w:val="20"/>
                              </w:rPr>
                            </w:pPr>
                            <w:r>
                              <w:rPr>
                                <w:rFonts w:ascii="Times New Roman" w:hAnsi="Times New Roman" w:eastAsia="宋体" w:cs="Times New Roman"/>
                                <w:color w:val="000000"/>
                                <w:kern w:val="0"/>
                                <w:sz w:val="21"/>
                                <w:szCs w:val="20"/>
                              </w:rPr>
                              <w:t>0.00</w:t>
                            </w:r>
                          </w:p>
                        </w:tc>
                        <w:tc>
                          <w:tcPr>
                            <w:tcW w:w="478" w:type="pct"/>
                            <w:tcBorders>
                              <w:top w:val="single" w:color="000000" w:sz="4" w:space="0"/>
                              <w:left w:val="single" w:color="000000" w:sz="4" w:space="0"/>
                              <w:bottom w:val="single" w:color="000000" w:sz="4" w:space="0"/>
                              <w:right w:val="single" w:color="000000" w:sz="4" w:space="0"/>
                            </w:tcBorders>
                            <w:noWrap w:val="0"/>
                            <w:vAlign w:val="center"/>
                          </w:tcPr>
                          <w:p>
                            <w:pPr>
                              <w:shd w:val="clear" w:color="auto" w:fill="auto"/>
                              <w:overflowPunct w:val="0"/>
                              <w:jc w:val="center"/>
                              <w:textAlignment w:val="center"/>
                              <w:rPr>
                                <w:rFonts w:hint="default" w:ascii="Times New Roman" w:hAnsi="Times New Roman" w:eastAsia="宋体" w:cs="Times New Roman"/>
                                <w:color w:val="000000"/>
                                <w:kern w:val="2"/>
                                <w:sz w:val="20"/>
                                <w:szCs w:val="20"/>
                                <w:lang w:val="en-US" w:eastAsia="zh-CN"/>
                              </w:rPr>
                            </w:pPr>
                            <w:r>
                              <w:rPr>
                                <w:rFonts w:hint="eastAsia" w:ascii="Times New Roman" w:hAnsi="Times New Roman" w:eastAsia="宋体" w:cs="Times New Roman"/>
                                <w:color w:val="000000"/>
                                <w:kern w:val="0"/>
                                <w:sz w:val="21"/>
                                <w:szCs w:val="20"/>
                                <w:lang w:val="en-US" w:eastAsia="zh-CN"/>
                              </w:rPr>
                              <w:t>-1.00</w:t>
                            </w:r>
                          </w:p>
                        </w:tc>
                      </w:tr>
                    </w:tbl>
                    <w:p>
                      <w:pPr>
                        <w:jc w:val="both"/>
                        <w:rPr>
                          <w:rFonts w:hint="eastAsia" w:ascii="方正小标宋简体" w:hAnsi="方正小标宋简体" w:eastAsia="方正小标宋简体" w:cs="方正小标宋简体"/>
                          <w:color w:val="FFFFFF"/>
                          <w:w w:val="75"/>
                          <w:sz w:val="60"/>
                          <w:szCs w:val="60"/>
                          <w:lang w:eastAsia="zh-CN"/>
                          <w14:glow w14:rad="0">
                            <w14:srgbClr w14:val="000000"/>
                          </w14:glow>
                          <w14:shadow w14:blurRad="38100" w14:dist="22860" w14:dir="5400000" w14:sx="100000" w14:sy="100000" w14:kx="0" w14:ky="0" w14:algn="tl">
                            <w14:srgbClr w14:val="000000">
                              <w14:alpha w14:val="70000"/>
                            </w14:srgbClr>
                          </w14:shadow>
                          <w14:reflection w14:blurRad="0" w14:stA="0" w14:stPos="0" w14:endA="0" w14:endPos="0" w14:dist="0" w14:dir="0" w14:fadeDir="0" w14:sx="0" w14:sy="0" w14:kx="0" w14:ky="0" w14:algn="none"/>
                          <w14:textOutline w14:w="10160">
                            <w14:solidFill>
                              <w14:schemeClr w14:val="accent5"/>
                            </w14:solidFill>
                            <w14:prstDash w14:val="solid"/>
                            <w14:round/>
                          </w14:textOutline>
                          <w14:props3d w14:extrusionH="0" w14:contourW="0" w14:prstMaterial="clear"/>
                        </w:rPr>
                      </w:pP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val="0"/>
        <w:overflowPunct/>
        <w:topLinePunct w:val="0"/>
        <w:autoSpaceDE/>
        <w:autoSpaceDN/>
        <w:bidi w:val="0"/>
        <w:adjustRightInd/>
        <w:snapToGrid/>
        <w:spacing w:line="560" w:lineRule="exact"/>
        <w:ind w:left="0" w:leftChars="0" w:right="0" w:rightChars="0" w:firstLine="640" w:firstLineChars="200"/>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center"/>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center"/>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ind w:firstLine="640" w:firstLineChars="200"/>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center"/>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center"/>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center"/>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center"/>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1280" w:firstLineChars="4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ind w:firstLine="640" w:firstLineChars="200"/>
        <w:rPr>
          <w:rFonts w:hint="eastAsia" w:ascii="仿宋_GB2312" w:hAnsi="仿宋_GB2312" w:eastAsia="仿宋_GB2312" w:cs="仿宋_GB2312"/>
          <w:sz w:val="32"/>
          <w:szCs w:val="32"/>
          <w:lang w:eastAsia="zh-CN"/>
        </w:rPr>
      </w:pPr>
    </w:p>
    <w:p>
      <w:pPr>
        <w:rPr>
          <w:rFonts w:hint="eastAsia"/>
          <w:lang w:eastAsia="zh-CN"/>
        </w:rPr>
      </w:pP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467BA3"/>
    <w:rsid w:val="00033E78"/>
    <w:rsid w:val="00EE6867"/>
    <w:rsid w:val="010C2C88"/>
    <w:rsid w:val="0147460A"/>
    <w:rsid w:val="046E6E9A"/>
    <w:rsid w:val="06F52614"/>
    <w:rsid w:val="070154D4"/>
    <w:rsid w:val="08520E39"/>
    <w:rsid w:val="09B061F8"/>
    <w:rsid w:val="0CB401E2"/>
    <w:rsid w:val="10593C06"/>
    <w:rsid w:val="110740B6"/>
    <w:rsid w:val="117D33E9"/>
    <w:rsid w:val="12241B02"/>
    <w:rsid w:val="12F20486"/>
    <w:rsid w:val="13F30ADD"/>
    <w:rsid w:val="15154EBC"/>
    <w:rsid w:val="15D5037F"/>
    <w:rsid w:val="17197096"/>
    <w:rsid w:val="177A0ACE"/>
    <w:rsid w:val="17997089"/>
    <w:rsid w:val="1E0C4BBC"/>
    <w:rsid w:val="1FD41F55"/>
    <w:rsid w:val="2151166B"/>
    <w:rsid w:val="23861370"/>
    <w:rsid w:val="2689586B"/>
    <w:rsid w:val="26AD51C1"/>
    <w:rsid w:val="270D6E41"/>
    <w:rsid w:val="28A15258"/>
    <w:rsid w:val="2AEC12F9"/>
    <w:rsid w:val="2CA137D8"/>
    <w:rsid w:val="2D3A73ED"/>
    <w:rsid w:val="2D4462BD"/>
    <w:rsid w:val="2DA350B2"/>
    <w:rsid w:val="2E1E0528"/>
    <w:rsid w:val="2FE01663"/>
    <w:rsid w:val="34C25AC8"/>
    <w:rsid w:val="376B506F"/>
    <w:rsid w:val="37910A8C"/>
    <w:rsid w:val="38400D42"/>
    <w:rsid w:val="38F820AF"/>
    <w:rsid w:val="39291B58"/>
    <w:rsid w:val="3B9951EA"/>
    <w:rsid w:val="3BBA30A9"/>
    <w:rsid w:val="3BED0739"/>
    <w:rsid w:val="3D84600F"/>
    <w:rsid w:val="3DBE5B5E"/>
    <w:rsid w:val="3E6D2789"/>
    <w:rsid w:val="40624C49"/>
    <w:rsid w:val="41392491"/>
    <w:rsid w:val="422457C1"/>
    <w:rsid w:val="46E33E2F"/>
    <w:rsid w:val="471B21F1"/>
    <w:rsid w:val="478C74EF"/>
    <w:rsid w:val="48AE78A4"/>
    <w:rsid w:val="49CF3BE8"/>
    <w:rsid w:val="4ABF1CD1"/>
    <w:rsid w:val="4BB067C9"/>
    <w:rsid w:val="4D533B3F"/>
    <w:rsid w:val="4D7228F1"/>
    <w:rsid w:val="4E410B07"/>
    <w:rsid w:val="4E5F6665"/>
    <w:rsid w:val="4EC407F9"/>
    <w:rsid w:val="4EF70F1B"/>
    <w:rsid w:val="504E06CB"/>
    <w:rsid w:val="50AA7E55"/>
    <w:rsid w:val="513C665D"/>
    <w:rsid w:val="530700D8"/>
    <w:rsid w:val="537C098C"/>
    <w:rsid w:val="53985C1B"/>
    <w:rsid w:val="54E65C79"/>
    <w:rsid w:val="555870CE"/>
    <w:rsid w:val="56532FD7"/>
    <w:rsid w:val="579746F1"/>
    <w:rsid w:val="57B86ABA"/>
    <w:rsid w:val="584208FB"/>
    <w:rsid w:val="58C60AA5"/>
    <w:rsid w:val="58C920F1"/>
    <w:rsid w:val="5C0E0219"/>
    <w:rsid w:val="5E694885"/>
    <w:rsid w:val="5F151E28"/>
    <w:rsid w:val="622B4DCD"/>
    <w:rsid w:val="62462AC8"/>
    <w:rsid w:val="63760735"/>
    <w:rsid w:val="64DF6182"/>
    <w:rsid w:val="65AB5B7D"/>
    <w:rsid w:val="68C84CF7"/>
    <w:rsid w:val="69AF0396"/>
    <w:rsid w:val="6BDF165E"/>
    <w:rsid w:val="6BF46DA7"/>
    <w:rsid w:val="6D9F4D08"/>
    <w:rsid w:val="75150C8C"/>
    <w:rsid w:val="75467BA3"/>
    <w:rsid w:val="76833702"/>
    <w:rsid w:val="78097420"/>
    <w:rsid w:val="78CD6E9B"/>
    <w:rsid w:val="78F1774A"/>
    <w:rsid w:val="79190F13"/>
    <w:rsid w:val="79B36E8A"/>
    <w:rsid w:val="7BF676C7"/>
    <w:rsid w:val="7D815543"/>
    <w:rsid w:val="7E4E0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widowControl/>
      <w:spacing w:line="560" w:lineRule="exact"/>
      <w:ind w:firstLine="0" w:firstLineChars="0"/>
      <w:jc w:val="center"/>
      <w:outlineLvl w:val="0"/>
    </w:pPr>
    <w:rPr>
      <w:rFonts w:ascii="方正小标宋简体" w:hAnsi="仿宋" w:eastAsia="方正小标宋简体"/>
      <w:kern w:val="44"/>
      <w:sz w:val="44"/>
      <w:szCs w:val="44"/>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Subtitle"/>
    <w:basedOn w:val="1"/>
    <w:next w:val="1"/>
    <w:qFormat/>
    <w:uiPriority w:val="0"/>
    <w:pPr>
      <w:ind w:firstLine="0" w:firstLineChars="0"/>
    </w:pPr>
    <w:rPr>
      <w:rFonts w:ascii="仿宋_GB2312" w:hAnsi="仿宋_GB2312" w:cs="仿宋_GB2312"/>
      <w:szCs w:val="32"/>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文件正文"/>
    <w:basedOn w:val="3"/>
    <w:qFormat/>
    <w:uiPriority w:val="2"/>
    <w:pPr>
      <w:spacing w:line="560" w:lineRule="exact"/>
      <w:ind w:firstLine="622"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Office_11.8.2.9017_F1E327BC-269C-435d-A152-05C5408002CA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2019-04-11T08:45:00Z</dcterms:created>
  <dc:creator>18192</dc:creator>
  <cp:lastModifiedBy>hp</cp:lastModifiedBy>
  <cp:lastPrinted>2022-02-25T07:56:00Z</cp:lastPrinted>
  <dcterms:modified xsi:type="dcterms:W3CDTF">2024-02-19T07:53:29Z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2052-11.8.2.9017</vt:lpwstr>
  </property>
</Properties>
</file>