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00" w:lineRule="exact"/>
        <w:ind w:firstLine="0" w:firstLineChars="0"/>
        <w:jc w:val="center"/>
        <w:outlineLvl w:val="1"/>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采购项目需求方案</w:t>
      </w:r>
    </w:p>
    <w:p>
      <w:pPr>
        <w:widowControl w:val="0"/>
        <w:spacing w:line="240" w:lineRule="auto"/>
        <w:ind w:firstLine="420" w:firstLineChars="200"/>
        <w:jc w:val="both"/>
        <w:rPr>
          <w:rFonts w:asciiTheme="minorHAnsi" w:hAnsiTheme="minorHAnsi" w:eastAsiaTheme="minorEastAsia" w:cstheme="minorBidi"/>
          <w:kern w:val="2"/>
          <w:sz w:val="21"/>
          <w:szCs w:val="24"/>
          <w:lang w:val="en-US" w:eastAsia="zh-CN" w:bidi="ar-SA"/>
        </w:rPr>
      </w:pPr>
    </w:p>
    <w:tbl>
      <w:tblPr>
        <w:tblStyle w:val="6"/>
        <w:tblW w:w="5000" w:type="pct"/>
        <w:tblInd w:w="0" w:type="dxa"/>
        <w:tblLayout w:type="autofit"/>
        <w:tblCellMar>
          <w:top w:w="0" w:type="dxa"/>
          <w:left w:w="108" w:type="dxa"/>
          <w:bottom w:w="0" w:type="dxa"/>
          <w:right w:w="108" w:type="dxa"/>
        </w:tblCellMar>
      </w:tblPr>
      <w:tblGrid>
        <w:gridCol w:w="1001"/>
        <w:gridCol w:w="2677"/>
        <w:gridCol w:w="1856"/>
        <w:gridCol w:w="1736"/>
        <w:gridCol w:w="2130"/>
      </w:tblGrid>
      <w:tr>
        <w:tblPrEx>
          <w:tblCellMar>
            <w:top w:w="0" w:type="dxa"/>
            <w:left w:w="108" w:type="dxa"/>
            <w:bottom w:w="0" w:type="dxa"/>
            <w:right w:w="108" w:type="dxa"/>
          </w:tblCellMar>
        </w:tblPrEx>
        <w:trPr>
          <w:trHeight w:val="747" w:hRule="exact"/>
        </w:trPr>
        <w:tc>
          <w:tcPr>
            <w:tcW w:w="639"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项目名称</w:t>
            </w:r>
          </w:p>
        </w:tc>
        <w:tc>
          <w:tcPr>
            <w:tcW w:w="2283" w:type="pct"/>
            <w:gridSpan w:val="2"/>
            <w:tcBorders>
              <w:top w:val="single" w:color="auto" w:sz="4" w:space="0"/>
              <w:left w:val="nil"/>
              <w:bottom w:val="single" w:color="auto" w:sz="4" w:space="0"/>
              <w:right w:val="single" w:color="000000" w:sz="4" w:space="0"/>
            </w:tcBorders>
            <w:shd w:val="clear" w:color="auto" w:fill="auto"/>
            <w:noWrap/>
            <w:vAlign w:val="top"/>
          </w:tcPr>
          <w:p>
            <w:pPr>
              <w:widowControl/>
              <w:spacing w:line="240" w:lineRule="auto"/>
              <w:ind w:firstLine="0" w:firstLineChars="0"/>
              <w:jc w:val="center"/>
              <w:rPr>
                <w:rFonts w:ascii="仿宋_GB2312" w:hAnsi="仿宋_GB2312" w:eastAsia="仿宋_GB2312" w:cs="仿宋_GB2312"/>
                <w:b/>
                <w:bCs/>
                <w:kern w:val="0"/>
                <w:sz w:val="21"/>
                <w:szCs w:val="21"/>
              </w:rPr>
            </w:pPr>
            <w:r>
              <w:rPr>
                <w:rFonts w:hint="eastAsia" w:ascii="宋体" w:hAnsi="宋体" w:eastAsia="宋体" w:cs="宋体"/>
                <w:sz w:val="21"/>
                <w:szCs w:val="21"/>
                <w:lang w:eastAsia="zh-CN"/>
              </w:rPr>
              <w:t>2024</w:t>
            </w:r>
            <w:r>
              <w:rPr>
                <w:rFonts w:hint="eastAsia" w:ascii="宋体" w:hAnsi="宋体" w:eastAsia="宋体" w:cs="宋体"/>
                <w:sz w:val="21"/>
                <w:szCs w:val="21"/>
                <w:lang w:eastAsia="zh-CN"/>
              </w:rPr>
              <w:t>“关爱护航·幸福同行”福保街道家庭守护中心项目</w:t>
            </w:r>
          </w:p>
        </w:tc>
        <w:tc>
          <w:tcPr>
            <w:tcW w:w="931"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预算金额</w:t>
            </w:r>
          </w:p>
        </w:tc>
        <w:tc>
          <w:tcPr>
            <w:tcW w:w="1147"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 xml:space="preserve"> </w:t>
            </w:r>
            <w:r>
              <w:rPr>
                <w:rFonts w:hint="eastAsia" w:ascii="仿宋_GB2312" w:hAnsi="仿宋_GB2312" w:eastAsia="仿宋_GB2312" w:cs="仿宋_GB2312"/>
                <w:kern w:val="0"/>
                <w:sz w:val="24"/>
                <w:lang w:val="en-US" w:eastAsia="zh-CN"/>
              </w:rPr>
              <w:t>50万</w:t>
            </w:r>
            <w:r>
              <w:rPr>
                <w:rFonts w:hint="eastAsia" w:ascii="仿宋_GB2312" w:hAnsi="仿宋_GB2312" w:eastAsia="仿宋_GB2312" w:cs="仿宋_GB2312"/>
                <w:kern w:val="0"/>
                <w:sz w:val="24"/>
              </w:rPr>
              <w:t>元</w:t>
            </w:r>
          </w:p>
        </w:tc>
      </w:tr>
      <w:tr>
        <w:tblPrEx>
          <w:tblCellMar>
            <w:top w:w="0" w:type="dxa"/>
            <w:left w:w="108" w:type="dxa"/>
            <w:bottom w:w="0" w:type="dxa"/>
            <w:right w:w="108" w:type="dxa"/>
          </w:tblCellMar>
        </w:tblPrEx>
        <w:trPr>
          <w:trHeight w:val="567" w:hRule="exac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采购部门</w:t>
            </w:r>
          </w:p>
        </w:tc>
        <w:tc>
          <w:tcPr>
            <w:tcW w:w="2283"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hint="eastAsia" w:ascii="仿宋_GB2312" w:hAnsi="仿宋_GB2312" w:eastAsia="仿宋_GB2312" w:cs="仿宋_GB2312"/>
                <w:b/>
                <w:bCs/>
                <w:kern w:val="0"/>
                <w:sz w:val="24"/>
                <w:lang w:eastAsia="zh-CN"/>
              </w:rPr>
            </w:pPr>
            <w:r>
              <w:rPr>
                <w:rFonts w:hint="eastAsia" w:ascii="仿宋_GB2312" w:hAnsi="仿宋_GB2312" w:eastAsia="仿宋_GB2312" w:cs="仿宋_GB2312"/>
                <w:kern w:val="0"/>
                <w:sz w:val="24"/>
              </w:rPr>
              <w:t>　</w:t>
            </w:r>
            <w:r>
              <w:rPr>
                <w:rFonts w:hint="eastAsia" w:ascii="仿宋_GB2312" w:hAnsi="仿宋_GB2312" w:eastAsia="仿宋_GB2312" w:cs="仿宋_GB2312"/>
                <w:kern w:val="0"/>
                <w:sz w:val="24"/>
                <w:lang w:eastAsia="zh-CN"/>
              </w:rPr>
              <w:t>妇联</w:t>
            </w:r>
          </w:p>
        </w:tc>
        <w:tc>
          <w:tcPr>
            <w:tcW w:w="931"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项目经办人</w:t>
            </w:r>
          </w:p>
        </w:tc>
        <w:tc>
          <w:tcPr>
            <w:tcW w:w="1147"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rPr>
              <w:t>　</w:t>
            </w:r>
            <w:r>
              <w:rPr>
                <w:rFonts w:hint="eastAsia" w:ascii="仿宋_GB2312" w:hAnsi="仿宋_GB2312" w:eastAsia="仿宋_GB2312" w:cs="仿宋_GB2312"/>
                <w:kern w:val="0"/>
                <w:sz w:val="24"/>
                <w:lang w:eastAsia="zh-CN"/>
              </w:rPr>
              <w:t>陈婷</w:t>
            </w:r>
          </w:p>
        </w:tc>
      </w:tr>
      <w:tr>
        <w:tblPrEx>
          <w:tblCellMar>
            <w:top w:w="0" w:type="dxa"/>
            <w:left w:w="108" w:type="dxa"/>
            <w:bottom w:w="0" w:type="dxa"/>
            <w:right w:w="108" w:type="dxa"/>
          </w:tblCellMar>
        </w:tblPrEx>
        <w:trPr>
          <w:trHeight w:val="240" w:hRule="atLeas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采购类型</w:t>
            </w:r>
          </w:p>
        </w:tc>
        <w:tc>
          <w:tcPr>
            <w:tcW w:w="1352"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sym w:font="Wingdings 2" w:char="0052"/>
            </w:r>
            <w:r>
              <w:rPr>
                <w:rFonts w:hint="eastAsia" w:ascii="仿宋_GB2312" w:hAnsi="仿宋_GB2312" w:eastAsia="仿宋_GB2312" w:cs="仿宋_GB2312"/>
                <w:b/>
                <w:bCs/>
                <w:kern w:val="0"/>
                <w:sz w:val="24"/>
              </w:rPr>
              <w:t>服务类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□货物类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□工程类</w:t>
            </w:r>
          </w:p>
        </w:tc>
        <w:tc>
          <w:tcPr>
            <w:tcW w:w="931" w:type="pct"/>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采购方式</w:t>
            </w:r>
          </w:p>
        </w:tc>
        <w:tc>
          <w:tcPr>
            <w:tcW w:w="2078"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□直接确定供应商（3万元以下）</w:t>
            </w:r>
            <w:r>
              <w:rPr>
                <w:rFonts w:hint="eastAsia" w:ascii="仿宋_GB2312" w:hAnsi="仿宋_GB2312" w:eastAsia="仿宋_GB2312" w:cs="仿宋_GB2312"/>
                <w:b/>
                <w:bCs/>
                <w:kern w:val="0"/>
                <w:sz w:val="24"/>
              </w:rPr>
              <w:sym w:font="Wingdings 2" w:char="00A3"/>
            </w:r>
            <w:r>
              <w:rPr>
                <w:rFonts w:hint="eastAsia" w:ascii="仿宋_GB2312" w:hAnsi="仿宋_GB2312" w:eastAsia="仿宋_GB2312" w:cs="仿宋_GB2312"/>
                <w:b/>
                <w:bCs/>
                <w:kern w:val="0"/>
                <w:sz w:val="24"/>
              </w:rPr>
              <w:t>询价</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b/>
                <w:bCs/>
                <w:kern w:val="0"/>
                <w:sz w:val="24"/>
              </w:rPr>
              <w:t xml:space="preserve">□直接确定供应商（特殊）   </w:t>
            </w:r>
            <w:r>
              <w:rPr>
                <w:rFonts w:hint="eastAsia" w:ascii="仿宋_GB2312" w:hAnsi="仿宋_GB2312" w:eastAsia="仿宋_GB2312" w:cs="仿宋_GB2312"/>
                <w:b/>
                <w:bCs/>
                <w:kern w:val="0"/>
                <w:sz w:val="24"/>
              </w:rPr>
              <w:sym w:font="Wingdings 2" w:char="0052"/>
            </w:r>
            <w:r>
              <w:rPr>
                <w:rFonts w:hint="eastAsia" w:ascii="仿宋_GB2312" w:hAnsi="仿宋_GB2312" w:eastAsia="仿宋_GB2312" w:cs="仿宋_GB2312"/>
                <w:b/>
                <w:bCs/>
                <w:kern w:val="0"/>
                <w:sz w:val="24"/>
              </w:rPr>
              <w:t>比价谈判</w:t>
            </w:r>
          </w:p>
        </w:tc>
      </w:tr>
      <w:tr>
        <w:tblPrEx>
          <w:tblCellMar>
            <w:top w:w="0" w:type="dxa"/>
            <w:left w:w="108" w:type="dxa"/>
            <w:bottom w:w="0" w:type="dxa"/>
            <w:right w:w="108" w:type="dxa"/>
          </w:tblCellMar>
        </w:tblPrEx>
        <w:trPr>
          <w:trHeight w:val="680" w:hRule="atLeas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项目背景</w:t>
            </w:r>
          </w:p>
        </w:tc>
        <w:tc>
          <w:tcPr>
            <w:tcW w:w="4361" w:type="pct"/>
            <w:gridSpan w:val="4"/>
            <w:tcBorders>
              <w:top w:val="single" w:color="auto" w:sz="4" w:space="0"/>
              <w:left w:val="nil"/>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eastAsia"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为全面贯彻落实习近平总书记关于注重家庭家教家风建设的重要论述，深入学习贯彻党的二十大精神，推动福田区妇女儿童工作高质量发展，长期以来，福保街道积极为辖区家庭打造和谐美好的社区环境、争取社会福祉、协同共育共治，确保每一个小家“安康”，让集体大家“幸福”。2023年，福保街道家庭守护中心贯彻落实《福田区关于全面推进“百县千镇万村高质量发展工程”助力全省城乡区域协调发展》的工作部署，以营造家庭和谐关系为核心，以全生命周期家庭守护为内容，实施精准化服务，项目服务达10000 余人次，有效促进街道居民家庭关系良性循环。</w:t>
            </w:r>
            <w:bookmarkStart w:id="0" w:name="_GoBack"/>
            <w:bookmarkEnd w:id="0"/>
          </w:p>
        </w:tc>
      </w:tr>
      <w:tr>
        <w:tblPrEx>
          <w:tblCellMar>
            <w:top w:w="0" w:type="dxa"/>
            <w:left w:w="108" w:type="dxa"/>
            <w:bottom w:w="0" w:type="dxa"/>
            <w:right w:w="108" w:type="dxa"/>
          </w:tblCellMar>
        </w:tblPrEx>
        <w:trPr>
          <w:trHeight w:val="712" w:hRule="atLeast"/>
        </w:trPr>
        <w:tc>
          <w:tcPr>
            <w:tcW w:w="639" w:type="pct"/>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项目需求</w:t>
            </w:r>
          </w:p>
        </w:tc>
        <w:tc>
          <w:tcPr>
            <w:tcW w:w="4361" w:type="pct"/>
            <w:gridSpan w:val="4"/>
            <w:tcBorders>
              <w:top w:val="single" w:color="auto" w:sz="4" w:space="0"/>
              <w:left w:val="nil"/>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项目技术要求：</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本项目在福保街道益田、新港、明月、福保、石厦及河套福保园区六个社园区开展，主要服务人群为福保街道辖区各家庭（有侧重点地关注困弱家庭、群体及个人），为有需要的家庭及个人提供开展困境家庭守护、家庭关系守护、家庭暴力庇护、生命教育守护四大板块的服务内容。</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eastAsia" w:ascii="仿宋_GB2312" w:hAnsi="仿宋_GB2312" w:eastAsia="仿宋_GB2312" w:cs="仿宋_GB2312"/>
                <w:kern w:val="0"/>
                <w:sz w:val="24"/>
                <w:lang w:val="en-US" w:eastAsia="zh-Hans"/>
              </w:rPr>
            </w:pPr>
            <w:r>
              <w:rPr>
                <w:rFonts w:hint="eastAsia" w:ascii="仿宋_GB2312" w:hAnsi="仿宋_GB2312" w:eastAsia="仿宋_GB2312" w:cs="仿宋_GB2312"/>
                <w:kern w:val="0"/>
                <w:sz w:val="24"/>
                <w:lang w:val="en-US" w:eastAsia="zh-CN"/>
              </w:rPr>
              <w:t>（一）</w:t>
            </w:r>
            <w:r>
              <w:rPr>
                <w:rFonts w:hint="eastAsia" w:ascii="仿宋_GB2312" w:hAnsi="仿宋_GB2312" w:eastAsia="仿宋_GB2312" w:cs="仿宋_GB2312"/>
                <w:kern w:val="0"/>
                <w:sz w:val="24"/>
                <w:lang w:val="en-US" w:eastAsia="zh-Hans"/>
              </w:rPr>
              <w:t>能提供特殊困难家庭走访服务、个案跟进服务、撰写典型案例等。</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（二）在维护和加强家庭关系的过程中，婚姻关系起着核心的作用。为了支持和改善婚姻家庭关系，将着重提供全面的婚姻家庭辅导服务，这些服务涵盖从婚前教育到婚姻咨询、心理疏导乃至离婚辅导的全过程。</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（三）培育巾帼调解员，进一步整合全职妈妈、退休老党员、在校大学生、热心妇女群众等资源，筹建社区巾帼调解员服务队，该调解员队伍将在家庭纠纷调解、邻里关系维护等方面发挥作用。</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（四）为有效防止家庭暴力侵害，将在现有的“庇护小屋”基础上，进一步完善服务流程，面向辖区遭受暴力侵害的未成年人和妇女，以及经历家庭纠纷和争吵的相关人群提供更专业和精准的服务。</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eastAsia"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（五）能够配合完成全年活动所需要所有档案</w:t>
            </w:r>
            <w:r>
              <w:rPr>
                <w:rFonts w:hint="eastAsia" w:ascii="仿宋_GB2312" w:hAnsi="仿宋_GB2312" w:eastAsia="仿宋_GB2312" w:cs="仿宋_GB2312"/>
                <w:kern w:val="0"/>
                <w:sz w:val="24"/>
                <w:lang w:val="en-US" w:eastAsia="zh-Hans"/>
              </w:rPr>
              <w:t>及台账</w:t>
            </w:r>
            <w:r>
              <w:rPr>
                <w:rFonts w:hint="eastAsia" w:ascii="仿宋_GB2312" w:hAnsi="仿宋_GB2312" w:eastAsia="仿宋_GB2312" w:cs="仿宋_GB2312"/>
                <w:kern w:val="0"/>
                <w:sz w:val="24"/>
                <w:lang w:val="en-US" w:eastAsia="zh-CN"/>
              </w:rPr>
              <w:t>，形成全年总结视频。</w:t>
            </w:r>
          </w:p>
        </w:tc>
      </w:tr>
      <w:tr>
        <w:tblPrEx>
          <w:tblCellMar>
            <w:top w:w="0" w:type="dxa"/>
            <w:left w:w="108" w:type="dxa"/>
            <w:bottom w:w="0" w:type="dxa"/>
            <w:right w:w="108" w:type="dxa"/>
          </w:tblCellMar>
        </w:tblPrEx>
        <w:trPr>
          <w:trHeight w:val="3070" w:hRule="atLeast"/>
        </w:trPr>
        <w:tc>
          <w:tcPr>
            <w:tcW w:w="639" w:type="pct"/>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kern w:val="0"/>
                <w:sz w:val="24"/>
              </w:rPr>
            </w:pP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项目商务要求：</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1.服务期限：</w:t>
            </w:r>
            <w:r>
              <w:rPr>
                <w:rFonts w:hint="eastAsia" w:ascii="仿宋_GB2312" w:hAnsi="仿宋_GB2312" w:eastAsia="仿宋_GB2312" w:cs="仿宋_GB2312"/>
                <w:kern w:val="0"/>
                <w:sz w:val="24"/>
                <w:lang w:val="en-US" w:eastAsia="zh-CN"/>
              </w:rPr>
              <w:t>自合同签订之日起至2024年12月</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2.付款方式：</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分期付款：合同签订后，中标供应商提供符合规定的发票，街道办15日内支付合同总额的</w:t>
            </w:r>
            <w:r>
              <w:rPr>
                <w:rFonts w:hint="eastAsia" w:ascii="仿宋_GB2312" w:hAnsi="仿宋_GB2312" w:eastAsia="仿宋_GB2312" w:cs="仿宋_GB2312"/>
                <w:kern w:val="0"/>
                <w:sz w:val="24"/>
                <w:lang w:val="en-US" w:eastAsia="zh-CN"/>
              </w:rPr>
              <w:t>40</w:t>
            </w:r>
            <w:r>
              <w:rPr>
                <w:rFonts w:hint="eastAsia" w:ascii="仿宋_GB2312" w:hAnsi="仿宋_GB2312" w:eastAsia="仿宋_GB2312" w:cs="仿宋_GB2312"/>
                <w:kern w:val="0"/>
                <w:sz w:val="24"/>
              </w:rPr>
              <w:t>%；项目进度验收合格后，中标供应商提供符合规定的发票，街道办15日内支付合同总额的</w:t>
            </w:r>
            <w:r>
              <w:rPr>
                <w:rFonts w:hint="eastAsia" w:ascii="仿宋_GB2312" w:hAnsi="仿宋_GB2312" w:eastAsia="仿宋_GB2312" w:cs="仿宋_GB2312"/>
                <w:kern w:val="0"/>
                <w:sz w:val="24"/>
                <w:lang w:val="en-US" w:eastAsia="zh-CN"/>
              </w:rPr>
              <w:t>50</w:t>
            </w:r>
            <w:r>
              <w:rPr>
                <w:rFonts w:hint="eastAsia" w:ascii="仿宋_GB2312" w:hAnsi="仿宋_GB2312" w:eastAsia="仿宋_GB2312" w:cs="仿宋_GB2312"/>
                <w:kern w:val="0"/>
                <w:sz w:val="24"/>
              </w:rPr>
              <w:t>%；项目终验合格后，中标供应商提供符合规定的发票，街道办支付合同总额</w:t>
            </w:r>
            <w:r>
              <w:rPr>
                <w:rFonts w:hint="eastAsia" w:ascii="仿宋_GB2312" w:hAnsi="仿宋_GB2312" w:eastAsia="仿宋_GB2312" w:cs="仿宋_GB2312"/>
                <w:kern w:val="0"/>
                <w:sz w:val="24"/>
                <w:lang w:val="en-US" w:eastAsia="zh-CN"/>
              </w:rPr>
              <w:t>10</w:t>
            </w:r>
            <w:r>
              <w:rPr>
                <w:rFonts w:hint="eastAsia" w:ascii="仿宋_GB2312" w:hAnsi="仿宋_GB2312" w:eastAsia="仿宋_GB2312" w:cs="仿宋_GB2312"/>
                <w:kern w:val="0"/>
                <w:sz w:val="24"/>
              </w:rPr>
              <w:t>%。</w:t>
            </w:r>
          </w:p>
          <w:p>
            <w:pPr>
              <w:widowControl/>
              <w:spacing w:line="240" w:lineRule="auto"/>
              <w:ind w:firstLine="0" w:firstLineChars="0"/>
              <w:jc w:val="left"/>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rPr>
              <w:t>3.报价要求：</w:t>
            </w:r>
            <w:r>
              <w:rPr>
                <w:rFonts w:hint="eastAsia" w:ascii="仿宋_GB2312" w:hAnsi="仿宋_GB2312" w:eastAsia="仿宋_GB2312" w:cs="仿宋_GB2312"/>
                <w:kern w:val="0"/>
                <w:sz w:val="24"/>
                <w:lang w:eastAsia="zh-CN"/>
              </w:rPr>
              <w:t>含税总价不超过</w:t>
            </w:r>
            <w:r>
              <w:rPr>
                <w:rFonts w:hint="eastAsia" w:ascii="仿宋_GB2312" w:hAnsi="仿宋_GB2312" w:eastAsia="仿宋_GB2312" w:cs="仿宋_GB2312"/>
                <w:kern w:val="0"/>
                <w:sz w:val="24"/>
                <w:lang w:val="en-US" w:eastAsia="zh-CN"/>
              </w:rPr>
              <w:t>50万</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rPr>
              <w:t>4.违约责任</w:t>
            </w:r>
            <w:r>
              <w:rPr>
                <w:rFonts w:hint="eastAsia" w:ascii="仿宋_GB2312" w:hAnsi="仿宋_GB2312" w:eastAsia="仿宋_GB2312" w:cs="仿宋_GB2312"/>
                <w:kern w:val="0"/>
                <w:sz w:val="24"/>
                <w:lang w:val="en-US" w:eastAsia="zh-CN"/>
              </w:rPr>
              <w:t xml:space="preserve"> </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5.其他</w:t>
            </w:r>
          </w:p>
        </w:tc>
      </w:tr>
      <w:tr>
        <w:tblPrEx>
          <w:tblCellMar>
            <w:top w:w="0" w:type="dxa"/>
            <w:left w:w="108" w:type="dxa"/>
            <w:bottom w:w="0" w:type="dxa"/>
            <w:right w:w="108" w:type="dxa"/>
          </w:tblCellMar>
        </w:tblPrEx>
        <w:trPr>
          <w:trHeight w:val="1430" w:hRule="atLeast"/>
        </w:trPr>
        <w:tc>
          <w:tcPr>
            <w:tcW w:w="639"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投标人资质要求</w:t>
            </w:r>
          </w:p>
        </w:tc>
        <w:tc>
          <w:tcPr>
            <w:tcW w:w="8220" w:type="dxa"/>
            <w:gridSpan w:val="4"/>
            <w:tcBorders>
              <w:top w:val="single" w:color="auto" w:sz="4" w:space="0"/>
              <w:left w:val="nil"/>
              <w:bottom w:val="single" w:color="auto" w:sz="4" w:space="0"/>
              <w:right w:val="single" w:color="auto" w:sz="4" w:space="0"/>
            </w:tcBorders>
            <w:vAlign w:val="top"/>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1.具有独立法人资格或具有独立承担民事责任的能力的其它组织（提供营业执照或事业单位法人证等法人证明扫描件，原件备查）。</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2.本项目不接受联合体投标。</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3.参与本项目投标前三年内，在经营活动中没有重大违法记录；参与本项目政府采购活动时不存在被有关部门禁止参与政府采购活动且在有效期内的情况；具备《中华人民共和国政府采购法》第二十二条第一款的条件；参与政府采购项目投标的供应商未被列入失信被执行人、重大税收违法案件当事人名单、政府采购严重违法失信行为记录名单。</w:t>
            </w:r>
          </w:p>
        </w:tc>
      </w:tr>
      <w:tr>
        <w:tblPrEx>
          <w:tblCellMar>
            <w:top w:w="0" w:type="dxa"/>
            <w:left w:w="108" w:type="dxa"/>
            <w:bottom w:w="0" w:type="dxa"/>
            <w:right w:w="108" w:type="dxa"/>
          </w:tblCellMar>
        </w:tblPrEx>
        <w:trPr>
          <w:trHeight w:val="1270" w:hRule="atLeast"/>
        </w:trPr>
        <w:tc>
          <w:tcPr>
            <w:tcW w:w="639"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投标人需提供资料</w:t>
            </w:r>
          </w:p>
        </w:tc>
        <w:tc>
          <w:tcPr>
            <w:tcW w:w="8220" w:type="dxa"/>
            <w:gridSpan w:val="4"/>
            <w:tcBorders>
              <w:top w:val="single" w:color="auto" w:sz="4" w:space="0"/>
              <w:left w:val="nil"/>
              <w:bottom w:val="single" w:color="auto" w:sz="4" w:space="0"/>
              <w:right w:val="single" w:color="auto" w:sz="4" w:space="0"/>
            </w:tcBorders>
            <w:vAlign w:val="top"/>
          </w:tcPr>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1.营业执照、经营范围等相关资质复印件；</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2.投标报价单；</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3.公司详细简介；</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4.项目相关案例、业绩等；</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5.近三年内无行贿犯罪记录、无重大违法经营记录的声明和不存在处于被禁止参与政府采购活动期限内情形的声明函（声明函格式自拟）；</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6.可体现投标人综合实力及运营管理能力的其他资料。</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以上文件均需每页加盖单位公章并装订成册，且应将资料密封存入不透明文件袋中，贴密封条并加盖公章，否则视为无效投标。</w:t>
            </w:r>
          </w:p>
        </w:tc>
      </w:tr>
    </w:tbl>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sz w:val="32"/>
          <w:szCs w:val="32"/>
          <w:lang w:val="en-US" w:eastAsia="zh-CN"/>
        </w:rPr>
      </w:pPr>
    </w:p>
    <w:sectPr>
      <w:footerReference r:id="rId3" w:type="default"/>
      <w:pgSz w:w="11906" w:h="16838"/>
      <w:pgMar w:top="1361" w:right="1361" w:bottom="1361" w:left="1361"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IwZTcxOGRmZTBkZDFlNDA3NmY3MjQxMDQwZjljYjQifQ=="/>
  </w:docVars>
  <w:rsids>
    <w:rsidRoot w:val="194B399D"/>
    <w:rsid w:val="091C13C7"/>
    <w:rsid w:val="0A3D797F"/>
    <w:rsid w:val="0A4669B5"/>
    <w:rsid w:val="0DA44248"/>
    <w:rsid w:val="11312983"/>
    <w:rsid w:val="14C24AD9"/>
    <w:rsid w:val="172C00A3"/>
    <w:rsid w:val="18B761FE"/>
    <w:rsid w:val="194B399D"/>
    <w:rsid w:val="1AF3636A"/>
    <w:rsid w:val="1CD203FA"/>
    <w:rsid w:val="1D1041D7"/>
    <w:rsid w:val="251026CF"/>
    <w:rsid w:val="2E544988"/>
    <w:rsid w:val="2FBB6ACC"/>
    <w:rsid w:val="304A7E50"/>
    <w:rsid w:val="334D7C7F"/>
    <w:rsid w:val="340E45C5"/>
    <w:rsid w:val="37E312B6"/>
    <w:rsid w:val="381724E2"/>
    <w:rsid w:val="3F1434CE"/>
    <w:rsid w:val="416451E2"/>
    <w:rsid w:val="447E6A90"/>
    <w:rsid w:val="4E144BA8"/>
    <w:rsid w:val="4E1E0521"/>
    <w:rsid w:val="587C663C"/>
    <w:rsid w:val="5A771A36"/>
    <w:rsid w:val="5C8F69B7"/>
    <w:rsid w:val="5EBA216A"/>
    <w:rsid w:val="5EF62DCD"/>
    <w:rsid w:val="61F88ACB"/>
    <w:rsid w:val="66AD6A92"/>
    <w:rsid w:val="66C374B6"/>
    <w:rsid w:val="6A1555D3"/>
    <w:rsid w:val="6D6C0B34"/>
    <w:rsid w:val="6E467EB2"/>
    <w:rsid w:val="79D97BD5"/>
    <w:rsid w:val="7E97605D"/>
    <w:rsid w:val="7F34677C"/>
    <w:rsid w:val="7F6B53D9"/>
    <w:rsid w:val="EEFD65E1"/>
    <w:rsid w:val="FDE799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2">
    <w:name w:val="Body Text"/>
    <w:next w:val="1"/>
    <w:autoRedefine/>
    <w:qFormat/>
    <w:uiPriority w:val="1"/>
    <w:pPr>
      <w:widowControl w:val="0"/>
      <w:autoSpaceDE w:val="0"/>
      <w:autoSpaceDN w:val="0"/>
      <w:spacing w:before="0" w:after="0" w:line="240" w:lineRule="auto"/>
      <w:ind w:left="106" w:right="0"/>
      <w:jc w:val="left"/>
    </w:pPr>
    <w:rPr>
      <w:rFonts w:ascii="仿宋_GB2312" w:hAnsi="仿宋_GB2312" w:eastAsia="仿宋_GB2312" w:cs="仿宋_GB2312"/>
      <w:sz w:val="32"/>
      <w:szCs w:val="32"/>
      <w:lang w:val="zh-CN" w:eastAsia="zh-CN" w:bidi="zh-CN"/>
    </w:rPr>
  </w:style>
  <w:style w:type="paragraph" w:styleId="3">
    <w:name w:val="Normal Indent"/>
    <w:basedOn w:val="1"/>
    <w:autoRedefine/>
    <w:qFormat/>
    <w:uiPriority w:val="0"/>
    <w:pPr>
      <w:spacing w:line="560" w:lineRule="exact"/>
      <w:ind w:firstLine="420" w:firstLine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autoRedefine/>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footnote reference"/>
    <w:basedOn w:val="8"/>
    <w:autoRedefine/>
    <w:qFormat/>
    <w:uiPriority w:val="0"/>
    <w:rPr>
      <w:vertAlign w:val="superscript"/>
    </w:rPr>
  </w:style>
  <w:style w:type="character" w:customStyle="1" w:styleId="10">
    <w:name w:val="font11"/>
    <w:basedOn w:val="8"/>
    <w:autoRedefine/>
    <w:qFormat/>
    <w:uiPriority w:val="0"/>
    <w:rPr>
      <w:rFonts w:hint="eastAsia" w:ascii="仿宋_GB2312" w:eastAsia="仿宋_GB2312" w:cs="仿宋_GB2312"/>
      <w:color w:val="000000"/>
      <w:sz w:val="28"/>
      <w:szCs w:val="28"/>
      <w:u w:val="none"/>
    </w:rPr>
  </w:style>
  <w:style w:type="paragraph" w:customStyle="1" w:styleId="11">
    <w:name w:val="列出段落3"/>
    <w:basedOn w:val="1"/>
    <w:autoRedefine/>
    <w:unhideWhenUsed/>
    <w:qFormat/>
    <w:uiPriority w:val="99"/>
    <w:pPr>
      <w:ind w:firstLine="420" w:firstLineChars="200"/>
    </w:pPr>
  </w:style>
  <w:style w:type="paragraph" w:customStyle="1" w:styleId="12">
    <w:name w:val="Heading #1|1"/>
    <w:basedOn w:val="1"/>
    <w:autoRedefine/>
    <w:qFormat/>
    <w:uiPriority w:val="0"/>
    <w:pPr>
      <w:spacing w:after="580" w:line="590" w:lineRule="exact"/>
      <w:jc w:val="center"/>
      <w:outlineLvl w:val="0"/>
    </w:pPr>
    <w:rPr>
      <w:rFonts w:ascii="宋体" w:hAnsi="宋体" w:eastAsia="宋体" w:cs="宋体"/>
      <w:sz w:val="44"/>
      <w:szCs w:val="44"/>
      <w:lang w:val="zh-TW" w:eastAsia="zh-TW" w:bidi="zh-TW"/>
    </w:rPr>
  </w:style>
  <w:style w:type="paragraph" w:customStyle="1" w:styleId="13">
    <w:name w:val="Other|1"/>
    <w:basedOn w:val="1"/>
    <w:autoRedefine/>
    <w:qFormat/>
    <w:uiPriority w:val="0"/>
    <w:rPr>
      <w:rFonts w:ascii="宋体" w:hAnsi="宋体" w:eastAsia="宋体" w:cs="宋体"/>
      <w:sz w:val="20"/>
      <w:szCs w:val="20"/>
      <w:lang w:val="zh-TW" w:eastAsia="zh-TW" w:bidi="zh-TW"/>
    </w:rPr>
  </w:style>
  <w:style w:type="paragraph" w:customStyle="1" w:styleId="14">
    <w:name w:val="Body text|1"/>
    <w:basedOn w:val="1"/>
    <w:autoRedefine/>
    <w:qFormat/>
    <w:uiPriority w:val="0"/>
    <w:pPr>
      <w:spacing w:line="432" w:lineRule="auto"/>
      <w:ind w:firstLine="400"/>
    </w:pPr>
    <w:rPr>
      <w:rFonts w:ascii="宋体" w:hAnsi="宋体" w:eastAsia="宋体" w:cs="宋体"/>
      <w:sz w:val="28"/>
      <w:szCs w:val="28"/>
      <w:lang w:val="zh-TW" w:eastAsia="zh-TW" w:bidi="zh-T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2023-11-02T17:41:00Z</dcterms:created>
  <dc:creator>lulu</dc:creator>
  <cp:lastModifiedBy>lulu</cp:lastModifiedBy>
  <dcterms:modified xsi:type="dcterms:W3CDTF">2024-01-23T07:38:47Z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291FFF89D76F4DE38439484D2383A4B2_13</vt:lpwstr>
  </property>
</Properties>
</file>