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line="400" w:lineRule="exact"/>
        <w:ind w:firstLine="0" w:firstLineChars="0"/>
        <w:jc w:val="center"/>
        <w:outlineLvl w:val="1"/>
        <w:rPr>
          <w:rFonts w:ascii="方正小标宋简体" w:hAnsi="方正小标宋简体" w:eastAsia="方正小标宋简体" w:cs="方正小标宋简体"/>
          <w:sz w:val="36"/>
          <w:szCs w:val="36"/>
        </w:rPr>
      </w:pPr>
      <w:r>
        <w:rPr>
          <w:rFonts w:hint="eastAsia" w:ascii="方正小标宋简体" w:hAnsi="方正小标宋简体" w:eastAsia="方正小标宋简体" w:cs="方正小标宋简体"/>
          <w:sz w:val="36"/>
          <w:szCs w:val="36"/>
        </w:rPr>
        <w:t>采购项目需求方案</w:t>
      </w:r>
    </w:p>
    <w:p>
      <w:pPr>
        <w:widowControl w:val="0"/>
        <w:spacing w:line="240" w:lineRule="auto"/>
        <w:ind w:firstLine="420" w:firstLineChars="200"/>
        <w:jc w:val="both"/>
        <w:rPr>
          <w:rFonts w:asciiTheme="minorHAnsi" w:hAnsiTheme="minorHAnsi" w:eastAsiaTheme="minorEastAsia" w:cstheme="minorBidi"/>
          <w:kern w:val="2"/>
          <w:sz w:val="21"/>
          <w:szCs w:val="24"/>
          <w:lang w:val="en-US" w:eastAsia="zh-CN" w:bidi="ar-SA"/>
        </w:rPr>
      </w:pPr>
    </w:p>
    <w:tbl>
      <w:tblPr>
        <w:tblStyle w:val="7"/>
        <w:tblW w:w="5000" w:type="pct"/>
        <w:tblInd w:w="0" w:type="dxa"/>
        <w:tblLayout w:type="fixed"/>
        <w:tblCellMar>
          <w:top w:w="0" w:type="dxa"/>
          <w:left w:w="108" w:type="dxa"/>
          <w:bottom w:w="0" w:type="dxa"/>
          <w:right w:w="108" w:type="dxa"/>
        </w:tblCellMar>
      </w:tblPr>
      <w:tblGrid>
        <w:gridCol w:w="1072"/>
        <w:gridCol w:w="2452"/>
        <w:gridCol w:w="1698"/>
        <w:gridCol w:w="1873"/>
        <w:gridCol w:w="2305"/>
      </w:tblGrid>
      <w:tr>
        <w:tblPrEx>
          <w:tblCellMar>
            <w:top w:w="0" w:type="dxa"/>
            <w:left w:w="108" w:type="dxa"/>
            <w:bottom w:w="0" w:type="dxa"/>
            <w:right w:w="108" w:type="dxa"/>
          </w:tblCellMar>
        </w:tblPrEx>
        <w:trPr>
          <w:trHeight w:val="567" w:hRule="exact"/>
        </w:trPr>
        <w:tc>
          <w:tcPr>
            <w:tcW w:w="570" w:type="pc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项目名称</w:t>
            </w:r>
          </w:p>
        </w:tc>
        <w:tc>
          <w:tcPr>
            <w:tcW w:w="2207" w:type="pct"/>
            <w:gridSpan w:val="2"/>
            <w:tcBorders>
              <w:top w:val="single" w:color="auto" w:sz="4" w:space="0"/>
              <w:left w:val="nil"/>
              <w:bottom w:val="single" w:color="auto" w:sz="4" w:space="0"/>
              <w:right w:val="single" w:color="000000" w:sz="4" w:space="0"/>
            </w:tcBorders>
            <w:shd w:val="clear" w:color="auto" w:fill="auto"/>
            <w:noWrap/>
            <w:vAlign w:val="center"/>
          </w:tcPr>
          <w:p>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b w:val="0"/>
                <w:bCs w:val="0"/>
                <w:kern w:val="0"/>
                <w:sz w:val="24"/>
              </w:rPr>
              <w:t>2024年石厦村垃圾分类二次分流服务项目</w:t>
            </w:r>
          </w:p>
        </w:tc>
        <w:tc>
          <w:tcPr>
            <w:tcW w:w="996" w:type="pct"/>
            <w:tcBorders>
              <w:top w:val="single" w:color="auto" w:sz="4" w:space="0"/>
              <w:left w:val="nil"/>
              <w:bottom w:val="single" w:color="auto" w:sz="4" w:space="0"/>
              <w:right w:val="single" w:color="auto" w:sz="4" w:space="0"/>
            </w:tcBorders>
            <w:shd w:val="clear" w:color="auto" w:fill="auto"/>
            <w:noWrap/>
            <w:vAlign w:val="center"/>
          </w:tcPr>
          <w:p>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预算金额</w:t>
            </w:r>
          </w:p>
        </w:tc>
        <w:tc>
          <w:tcPr>
            <w:tcW w:w="1225" w:type="pct"/>
            <w:tcBorders>
              <w:top w:val="single" w:color="auto" w:sz="4" w:space="0"/>
              <w:left w:val="nil"/>
              <w:bottom w:val="single" w:color="auto" w:sz="4" w:space="0"/>
              <w:right w:val="single" w:color="auto" w:sz="4" w:space="0"/>
            </w:tcBorders>
            <w:shd w:val="clear" w:color="auto" w:fill="auto"/>
            <w:noWrap/>
            <w:vAlign w:val="center"/>
          </w:tcPr>
          <w:p>
            <w:pPr>
              <w:widowControl/>
              <w:spacing w:line="240" w:lineRule="auto"/>
              <w:ind w:firstLine="0" w:firstLineChars="0"/>
              <w:jc w:val="left"/>
              <w:rPr>
                <w:rFonts w:ascii="仿宋_GB2312" w:hAnsi="仿宋_GB2312" w:eastAsia="仿宋_GB2312" w:cs="仿宋_GB2312"/>
                <w:kern w:val="0"/>
                <w:sz w:val="24"/>
              </w:rPr>
            </w:pPr>
            <w:r>
              <w:rPr>
                <w:rFonts w:hint="eastAsia" w:ascii="仿宋_GB2312" w:hAnsi="仿宋_GB2312" w:eastAsia="仿宋_GB2312" w:cs="仿宋_GB2312"/>
                <w:kern w:val="0"/>
                <w:sz w:val="24"/>
              </w:rPr>
              <w:t xml:space="preserve">  </w:t>
            </w:r>
            <w:r>
              <w:rPr>
                <w:rFonts w:hint="eastAsia" w:ascii="仿宋_GB2312" w:hAnsi="仿宋_GB2312" w:eastAsia="仿宋_GB2312" w:cs="仿宋_GB2312"/>
                <w:kern w:val="0"/>
                <w:sz w:val="24"/>
                <w:highlight w:val="none"/>
              </w:rPr>
              <w:t xml:space="preserve">  </w:t>
            </w:r>
            <w:r>
              <w:rPr>
                <w:rFonts w:hint="eastAsia" w:ascii="仿宋_GB2312" w:hAnsi="仿宋_GB2312" w:eastAsia="仿宋_GB2312" w:cs="仿宋_GB2312"/>
                <w:color w:val="auto"/>
                <w:kern w:val="0"/>
                <w:sz w:val="24"/>
                <w:highlight w:val="none"/>
                <w:lang w:val="en-US" w:eastAsia="zh-CN"/>
              </w:rPr>
              <w:t>250000</w:t>
            </w:r>
            <w:r>
              <w:rPr>
                <w:rFonts w:hint="eastAsia" w:ascii="仿宋_GB2312" w:hAnsi="仿宋_GB2312" w:eastAsia="仿宋_GB2312" w:cs="仿宋_GB2312"/>
                <w:color w:val="auto"/>
                <w:kern w:val="0"/>
                <w:sz w:val="24"/>
                <w:highlight w:val="none"/>
              </w:rPr>
              <w:t>元</w:t>
            </w:r>
          </w:p>
        </w:tc>
      </w:tr>
      <w:tr>
        <w:tblPrEx>
          <w:tblCellMar>
            <w:top w:w="0" w:type="dxa"/>
            <w:left w:w="108" w:type="dxa"/>
            <w:bottom w:w="0" w:type="dxa"/>
            <w:right w:w="108" w:type="dxa"/>
          </w:tblCellMar>
        </w:tblPrEx>
        <w:trPr>
          <w:trHeight w:val="567" w:hRule="exact"/>
        </w:trPr>
        <w:tc>
          <w:tcPr>
            <w:tcW w:w="570" w:type="pct"/>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采购部门</w:t>
            </w:r>
          </w:p>
        </w:tc>
        <w:tc>
          <w:tcPr>
            <w:tcW w:w="2207" w:type="pct"/>
            <w:gridSpan w:val="2"/>
            <w:tcBorders>
              <w:top w:val="single" w:color="auto" w:sz="4" w:space="0"/>
              <w:left w:val="nil"/>
              <w:bottom w:val="single" w:color="auto" w:sz="4" w:space="0"/>
              <w:right w:val="single" w:color="000000" w:sz="4" w:space="0"/>
            </w:tcBorders>
            <w:shd w:val="clear" w:color="auto" w:fill="auto"/>
            <w:noWrap/>
            <w:vAlign w:val="center"/>
          </w:tcPr>
          <w:p>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kern w:val="0"/>
                <w:sz w:val="24"/>
                <w:lang w:eastAsia="zh-CN"/>
              </w:rPr>
              <w:t>综合行政执法队</w:t>
            </w:r>
            <w:r>
              <w:rPr>
                <w:rFonts w:hint="eastAsia" w:ascii="仿宋_GB2312" w:hAnsi="仿宋_GB2312" w:eastAsia="仿宋_GB2312" w:cs="仿宋_GB2312"/>
                <w:kern w:val="0"/>
                <w:sz w:val="24"/>
              </w:rPr>
              <w:t>　</w:t>
            </w:r>
          </w:p>
        </w:tc>
        <w:tc>
          <w:tcPr>
            <w:tcW w:w="996" w:type="pct"/>
            <w:tcBorders>
              <w:top w:val="nil"/>
              <w:left w:val="nil"/>
              <w:bottom w:val="single" w:color="auto" w:sz="4" w:space="0"/>
              <w:right w:val="single" w:color="auto" w:sz="4" w:space="0"/>
            </w:tcBorders>
            <w:shd w:val="clear" w:color="auto" w:fill="auto"/>
            <w:noWrap/>
            <w:vAlign w:val="center"/>
          </w:tcPr>
          <w:p>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项目经办人</w:t>
            </w:r>
          </w:p>
        </w:tc>
        <w:tc>
          <w:tcPr>
            <w:tcW w:w="1225" w:type="pct"/>
            <w:tcBorders>
              <w:top w:val="nil"/>
              <w:left w:val="nil"/>
              <w:bottom w:val="single" w:color="auto" w:sz="4" w:space="0"/>
              <w:right w:val="single" w:color="auto" w:sz="4" w:space="0"/>
            </w:tcBorders>
            <w:shd w:val="clear" w:color="auto" w:fill="auto"/>
            <w:noWrap/>
            <w:vAlign w:val="center"/>
          </w:tcPr>
          <w:p>
            <w:pPr>
              <w:widowControl/>
              <w:spacing w:line="240" w:lineRule="auto"/>
              <w:ind w:firstLine="0" w:firstLineChars="0"/>
              <w:jc w:val="left"/>
              <w:rPr>
                <w:rFonts w:hint="eastAsia" w:ascii="仿宋_GB2312" w:hAnsi="仿宋_GB2312" w:eastAsia="仿宋_GB2312" w:cs="仿宋_GB2312"/>
                <w:kern w:val="0"/>
                <w:sz w:val="24"/>
                <w:lang w:eastAsia="zh-CN"/>
              </w:rPr>
            </w:pPr>
            <w:r>
              <w:rPr>
                <w:rFonts w:hint="eastAsia" w:ascii="仿宋_GB2312" w:hAnsi="仿宋_GB2312" w:eastAsia="仿宋_GB2312" w:cs="仿宋_GB2312"/>
                <w:kern w:val="0"/>
                <w:sz w:val="24"/>
              </w:rPr>
              <w:t>　</w:t>
            </w:r>
            <w:r>
              <w:rPr>
                <w:rFonts w:hint="eastAsia" w:ascii="仿宋_GB2312" w:hAnsi="仿宋_GB2312" w:eastAsia="仿宋_GB2312" w:cs="仿宋_GB2312"/>
                <w:kern w:val="0"/>
                <w:sz w:val="24"/>
                <w:lang w:eastAsia="zh-CN"/>
              </w:rPr>
              <w:t>钟江华</w:t>
            </w:r>
          </w:p>
        </w:tc>
      </w:tr>
      <w:tr>
        <w:tblPrEx>
          <w:tblCellMar>
            <w:top w:w="0" w:type="dxa"/>
            <w:left w:w="108" w:type="dxa"/>
            <w:bottom w:w="0" w:type="dxa"/>
            <w:right w:w="108" w:type="dxa"/>
          </w:tblCellMar>
        </w:tblPrEx>
        <w:trPr>
          <w:trHeight w:val="240" w:hRule="atLeast"/>
        </w:trPr>
        <w:tc>
          <w:tcPr>
            <w:tcW w:w="570" w:type="pct"/>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采购类型</w:t>
            </w:r>
          </w:p>
        </w:tc>
        <w:tc>
          <w:tcPr>
            <w:tcW w:w="1304" w:type="pct"/>
            <w:tcBorders>
              <w:top w:val="single" w:color="auto" w:sz="4" w:space="0"/>
              <w:left w:val="nil"/>
              <w:bottom w:val="single" w:color="auto" w:sz="4" w:space="0"/>
              <w:right w:val="single" w:color="auto" w:sz="4" w:space="0"/>
            </w:tcBorders>
            <w:shd w:val="clear" w:color="auto" w:fill="auto"/>
            <w:noWrap/>
            <w:vAlign w:val="center"/>
          </w:tcPr>
          <w:p>
            <w:pPr>
              <w:widowControl/>
              <w:spacing w:line="240" w:lineRule="auto"/>
              <w:ind w:firstLine="0" w:firstLineChars="0"/>
              <w:jc w:val="center"/>
              <w:rPr>
                <w:rFonts w:ascii="仿宋_GB2312" w:hAnsi="仿宋_GB2312" w:eastAsia="仿宋_GB2312" w:cs="仿宋_GB2312"/>
                <w:kern w:val="0"/>
                <w:sz w:val="24"/>
              </w:rPr>
            </w:pPr>
            <w:r>
              <w:rPr>
                <w:rFonts w:hint="eastAsia" w:ascii="仿宋_GB2312" w:hAnsi="仿宋_GB2312" w:eastAsia="仿宋_GB2312" w:cs="仿宋_GB2312"/>
                <w:b/>
                <w:bCs/>
                <w:kern w:val="0"/>
                <w:sz w:val="24"/>
              </w:rPr>
              <w:sym w:font="Wingdings 2" w:char="0052"/>
            </w:r>
            <w:r>
              <w:rPr>
                <w:rFonts w:hint="eastAsia" w:ascii="仿宋_GB2312" w:hAnsi="仿宋_GB2312" w:eastAsia="仿宋_GB2312" w:cs="仿宋_GB2312"/>
                <w:b/>
                <w:bCs/>
                <w:kern w:val="0"/>
                <w:sz w:val="24"/>
              </w:rPr>
              <w:t>服务类</w:t>
            </w:r>
            <w:r>
              <w:rPr>
                <w:rFonts w:hint="eastAsia" w:ascii="仿宋_GB2312" w:hAnsi="仿宋_GB2312" w:eastAsia="仿宋_GB2312" w:cs="仿宋_GB2312"/>
                <w:kern w:val="0"/>
                <w:sz w:val="24"/>
              </w:rPr>
              <w:t>　</w:t>
            </w:r>
          </w:p>
          <w:p>
            <w:pPr>
              <w:widowControl/>
              <w:spacing w:line="240" w:lineRule="auto"/>
              <w:ind w:firstLine="0" w:firstLineChars="0"/>
              <w:jc w:val="center"/>
              <w:rPr>
                <w:rFonts w:ascii="仿宋_GB2312" w:hAnsi="仿宋_GB2312" w:eastAsia="仿宋_GB2312" w:cs="仿宋_GB2312"/>
                <w:kern w:val="0"/>
                <w:sz w:val="24"/>
              </w:rPr>
            </w:pPr>
            <w:r>
              <w:rPr>
                <w:rFonts w:hint="eastAsia" w:ascii="仿宋_GB2312" w:hAnsi="仿宋_GB2312" w:eastAsia="仿宋_GB2312" w:cs="仿宋_GB2312"/>
                <w:b/>
                <w:bCs/>
                <w:kern w:val="0"/>
                <w:sz w:val="24"/>
              </w:rPr>
              <w:t>□货物类</w:t>
            </w:r>
            <w:r>
              <w:rPr>
                <w:rFonts w:hint="eastAsia" w:ascii="仿宋_GB2312" w:hAnsi="仿宋_GB2312" w:eastAsia="仿宋_GB2312" w:cs="仿宋_GB2312"/>
                <w:kern w:val="0"/>
                <w:sz w:val="24"/>
              </w:rPr>
              <w:t>　</w:t>
            </w:r>
          </w:p>
          <w:p>
            <w:pPr>
              <w:widowControl/>
              <w:spacing w:line="240" w:lineRule="auto"/>
              <w:ind w:firstLine="0" w:firstLineChars="0"/>
              <w:jc w:val="center"/>
              <w:rPr>
                <w:rFonts w:ascii="仿宋_GB2312" w:hAnsi="仿宋_GB2312" w:eastAsia="仿宋_GB2312" w:cs="仿宋_GB2312"/>
                <w:kern w:val="0"/>
                <w:sz w:val="24"/>
              </w:rPr>
            </w:pPr>
            <w:r>
              <w:rPr>
                <w:rFonts w:hint="eastAsia" w:ascii="仿宋_GB2312" w:hAnsi="仿宋_GB2312" w:eastAsia="仿宋_GB2312" w:cs="仿宋_GB2312"/>
                <w:b/>
                <w:bCs/>
                <w:kern w:val="0"/>
                <w:sz w:val="24"/>
              </w:rPr>
              <w:t>□工程类</w:t>
            </w:r>
          </w:p>
        </w:tc>
        <w:tc>
          <w:tcPr>
            <w:tcW w:w="902" w:type="pct"/>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采购方式</w:t>
            </w:r>
          </w:p>
        </w:tc>
        <w:tc>
          <w:tcPr>
            <w:tcW w:w="2222" w:type="pct"/>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240" w:lineRule="auto"/>
              <w:ind w:firstLine="0" w:firstLineChars="0"/>
              <w:jc w:val="left"/>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□直接确定供应商（3万元以下）</w:t>
            </w:r>
            <w:r>
              <w:rPr>
                <w:rFonts w:hint="eastAsia" w:ascii="仿宋_GB2312" w:hAnsi="仿宋_GB2312" w:eastAsia="仿宋_GB2312" w:cs="仿宋_GB2312"/>
                <w:b/>
                <w:bCs/>
                <w:kern w:val="0"/>
                <w:sz w:val="24"/>
              </w:rPr>
              <w:sym w:font="Wingdings 2" w:char="00A3"/>
            </w:r>
            <w:r>
              <w:rPr>
                <w:rFonts w:hint="eastAsia" w:ascii="仿宋_GB2312" w:hAnsi="仿宋_GB2312" w:eastAsia="仿宋_GB2312" w:cs="仿宋_GB2312"/>
                <w:b/>
                <w:bCs/>
                <w:kern w:val="0"/>
                <w:sz w:val="24"/>
              </w:rPr>
              <w:t>询价</w:t>
            </w:r>
          </w:p>
          <w:p>
            <w:pPr>
              <w:widowControl/>
              <w:spacing w:line="240" w:lineRule="auto"/>
              <w:ind w:firstLine="0" w:firstLineChars="0"/>
              <w:jc w:val="left"/>
              <w:rPr>
                <w:rFonts w:ascii="仿宋_GB2312" w:hAnsi="仿宋_GB2312" w:eastAsia="仿宋_GB2312" w:cs="仿宋_GB2312"/>
                <w:kern w:val="0"/>
                <w:sz w:val="24"/>
              </w:rPr>
            </w:pPr>
            <w:r>
              <w:rPr>
                <w:rFonts w:hint="eastAsia" w:ascii="仿宋_GB2312" w:hAnsi="仿宋_GB2312" w:eastAsia="仿宋_GB2312" w:cs="仿宋_GB2312"/>
                <w:b/>
                <w:bCs/>
                <w:kern w:val="0"/>
                <w:sz w:val="24"/>
              </w:rPr>
              <w:t xml:space="preserve">□直接确定供应商（特殊）   </w:t>
            </w:r>
            <w:r>
              <w:rPr>
                <w:rFonts w:hint="eastAsia" w:ascii="仿宋_GB2312" w:hAnsi="仿宋_GB2312" w:eastAsia="仿宋_GB2312" w:cs="仿宋_GB2312"/>
                <w:b/>
                <w:bCs/>
                <w:kern w:val="0"/>
                <w:sz w:val="24"/>
              </w:rPr>
              <w:sym w:font="Wingdings 2" w:char="0052"/>
            </w:r>
            <w:r>
              <w:rPr>
                <w:rFonts w:hint="eastAsia" w:ascii="仿宋_GB2312" w:hAnsi="仿宋_GB2312" w:eastAsia="仿宋_GB2312" w:cs="仿宋_GB2312"/>
                <w:b/>
                <w:bCs/>
                <w:kern w:val="0"/>
                <w:sz w:val="24"/>
              </w:rPr>
              <w:t>比价谈判</w:t>
            </w:r>
          </w:p>
        </w:tc>
      </w:tr>
      <w:tr>
        <w:tblPrEx>
          <w:tblCellMar>
            <w:top w:w="0" w:type="dxa"/>
            <w:left w:w="108" w:type="dxa"/>
            <w:bottom w:w="0" w:type="dxa"/>
            <w:right w:w="108" w:type="dxa"/>
          </w:tblCellMar>
        </w:tblPrEx>
        <w:trPr>
          <w:trHeight w:val="680" w:hRule="atLeast"/>
        </w:trPr>
        <w:tc>
          <w:tcPr>
            <w:tcW w:w="570" w:type="pct"/>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项目背景</w:t>
            </w:r>
          </w:p>
        </w:tc>
        <w:tc>
          <w:tcPr>
            <w:tcW w:w="4429" w:type="pct"/>
            <w:gridSpan w:val="4"/>
            <w:tcBorders>
              <w:top w:val="single" w:color="auto" w:sz="4" w:space="0"/>
              <w:left w:val="nil"/>
              <w:bottom w:val="single" w:color="auto" w:sz="4" w:space="0"/>
              <w:right w:val="single" w:color="auto" w:sz="4" w:space="0"/>
            </w:tcBorders>
          </w:tcPr>
          <w:p>
            <w:pPr>
              <w:widowControl/>
              <w:spacing w:line="240" w:lineRule="auto"/>
              <w:ind w:firstLine="0" w:firstLineChars="0"/>
              <w:jc w:val="left"/>
              <w:rPr>
                <w:rFonts w:ascii="仿宋_GB2312" w:hAnsi="仿宋_GB2312" w:eastAsia="仿宋_GB2312" w:cs="仿宋_GB2312"/>
                <w:kern w:val="0"/>
                <w:sz w:val="24"/>
              </w:rPr>
            </w:pPr>
            <w:r>
              <w:rPr>
                <w:rFonts w:hint="eastAsia" w:ascii="仿宋_GB2312" w:hAnsi="仿宋_GB2312" w:eastAsia="仿宋_GB2312" w:cs="仿宋_GB2312"/>
                <w:kern w:val="0"/>
                <w:sz w:val="24"/>
              </w:rPr>
              <w:t>为全面落实住宅区垃圾分类</w:t>
            </w:r>
            <w:r>
              <w:rPr>
                <w:rFonts w:hint="eastAsia" w:ascii="仿宋_GB2312" w:hAnsi="仿宋_GB2312" w:eastAsia="仿宋_GB2312" w:cs="仿宋_GB2312"/>
                <w:kern w:val="0"/>
                <w:sz w:val="24"/>
                <w:lang w:eastAsia="zh-CN"/>
              </w:rPr>
              <w:t>工作</w:t>
            </w:r>
            <w:r>
              <w:rPr>
                <w:rFonts w:hint="eastAsia" w:ascii="仿宋_GB2312" w:hAnsi="仿宋_GB2312" w:eastAsia="仿宋_GB2312" w:cs="仿宋_GB2312"/>
                <w:kern w:val="0"/>
                <w:sz w:val="24"/>
              </w:rPr>
              <w:t>，结合福保街道石厦村垃圾分类工作实际，</w:t>
            </w:r>
            <w:r>
              <w:rPr>
                <w:rFonts w:hint="eastAsia" w:ascii="仿宋_GB2312" w:hAnsi="仿宋_GB2312" w:eastAsia="仿宋_GB2312" w:cs="仿宋_GB2312"/>
                <w:kern w:val="0"/>
                <w:sz w:val="24"/>
                <w:lang w:eastAsia="zh-CN"/>
              </w:rPr>
              <w:t>现</w:t>
            </w:r>
            <w:r>
              <w:rPr>
                <w:rFonts w:hint="eastAsia" w:ascii="仿宋_GB2312" w:hAnsi="仿宋_GB2312" w:eastAsia="仿宋_GB2312" w:cs="仿宋_GB2312"/>
                <w:kern w:val="0"/>
                <w:sz w:val="24"/>
              </w:rPr>
              <w:t>聘请第三方专业服务公司负责石厦村垃圾分类二次分流</w:t>
            </w:r>
            <w:r>
              <w:rPr>
                <w:rFonts w:hint="eastAsia" w:ascii="仿宋_GB2312" w:hAnsi="仿宋_GB2312" w:eastAsia="仿宋_GB2312" w:cs="仿宋_GB2312"/>
                <w:kern w:val="0"/>
                <w:sz w:val="24"/>
                <w:lang w:eastAsia="zh-CN"/>
              </w:rPr>
              <w:t>工作，</w:t>
            </w:r>
            <w:r>
              <w:rPr>
                <w:rFonts w:hint="eastAsia" w:ascii="仿宋_GB2312" w:hAnsi="仿宋_GB2312" w:eastAsia="仿宋_GB2312" w:cs="仿宋_GB2312"/>
                <w:kern w:val="0"/>
                <w:sz w:val="24"/>
              </w:rPr>
              <w:t>提供</w:t>
            </w:r>
            <w:r>
              <w:rPr>
                <w:rFonts w:hint="eastAsia" w:ascii="仿宋_GB2312" w:hAnsi="仿宋_GB2312" w:eastAsia="仿宋_GB2312" w:cs="仿宋_GB2312"/>
                <w:kern w:val="0"/>
                <w:sz w:val="24"/>
                <w:lang w:eastAsia="zh-CN"/>
              </w:rPr>
              <w:t>大厨余</w:t>
            </w:r>
            <w:r>
              <w:rPr>
                <w:rFonts w:hint="eastAsia" w:ascii="仿宋_GB2312" w:hAnsi="仿宋_GB2312" w:eastAsia="仿宋_GB2312" w:cs="仿宋_GB2312"/>
                <w:kern w:val="0"/>
                <w:sz w:val="24"/>
              </w:rPr>
              <w:t>垃圾源头清运、分类投放点管理及“一店一码”应用和管理等服务巩固石厦村垃圾分类二次分流新模式</w:t>
            </w:r>
            <w:r>
              <w:rPr>
                <w:rFonts w:hint="eastAsia" w:ascii="仿宋_GB2312" w:hAnsi="仿宋_GB2312" w:eastAsia="仿宋_GB2312" w:cs="仿宋_GB2312"/>
                <w:kern w:val="0"/>
                <w:sz w:val="24"/>
                <w:lang w:eastAsia="zh-CN"/>
              </w:rPr>
              <w:t>。</w:t>
            </w:r>
          </w:p>
        </w:tc>
      </w:tr>
      <w:tr>
        <w:tblPrEx>
          <w:tblCellMar>
            <w:top w:w="0" w:type="dxa"/>
            <w:left w:w="108" w:type="dxa"/>
            <w:bottom w:w="0" w:type="dxa"/>
            <w:right w:w="108" w:type="dxa"/>
          </w:tblCellMar>
        </w:tblPrEx>
        <w:trPr>
          <w:trHeight w:val="712" w:hRule="atLeast"/>
        </w:trPr>
        <w:tc>
          <w:tcPr>
            <w:tcW w:w="570" w:type="pct"/>
            <w:vMerge w:val="restart"/>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auto"/>
              <w:ind w:firstLine="0" w:firstLineChars="0"/>
              <w:jc w:val="center"/>
              <w:rPr>
                <w:rFonts w:ascii="仿宋_GB2312" w:hAnsi="仿宋_GB2312" w:eastAsia="仿宋_GB2312" w:cs="仿宋_GB2312"/>
                <w:b/>
                <w:bCs/>
                <w:color w:val="auto"/>
                <w:kern w:val="0"/>
                <w:sz w:val="24"/>
              </w:rPr>
            </w:pPr>
            <w:r>
              <w:rPr>
                <w:rFonts w:hint="eastAsia" w:ascii="仿宋_GB2312" w:hAnsi="仿宋_GB2312" w:eastAsia="仿宋_GB2312" w:cs="仿宋_GB2312"/>
                <w:b/>
                <w:bCs/>
                <w:color w:val="auto"/>
                <w:kern w:val="0"/>
                <w:sz w:val="24"/>
              </w:rPr>
              <w:t>项目需求</w:t>
            </w:r>
          </w:p>
        </w:tc>
        <w:tc>
          <w:tcPr>
            <w:tcW w:w="4429" w:type="pct"/>
            <w:gridSpan w:val="4"/>
            <w:tcBorders>
              <w:top w:val="single" w:color="auto" w:sz="4" w:space="0"/>
              <w:left w:val="nil"/>
              <w:bottom w:val="single" w:color="auto" w:sz="4" w:space="0"/>
              <w:right w:val="single" w:color="auto" w:sz="4" w:space="0"/>
            </w:tcBorders>
          </w:tcPr>
          <w:p>
            <w:pPr>
              <w:widowControl/>
              <w:spacing w:line="240" w:lineRule="auto"/>
              <w:ind w:firstLine="0" w:firstLineChars="0"/>
              <w:jc w:val="left"/>
              <w:rPr>
                <w:rFonts w:hint="eastAsia" w:ascii="仿宋_GB2312" w:hAnsi="仿宋_GB2312" w:eastAsia="仿宋_GB2312" w:cs="仿宋_GB2312"/>
                <w:color w:val="auto"/>
                <w:kern w:val="0"/>
                <w:sz w:val="24"/>
                <w:lang w:val="en-US" w:eastAsia="zh-CN"/>
              </w:rPr>
            </w:pPr>
            <w:r>
              <w:rPr>
                <w:rFonts w:hint="eastAsia" w:ascii="仿宋_GB2312" w:hAnsi="仿宋_GB2312" w:eastAsia="仿宋_GB2312" w:cs="仿宋_GB2312"/>
                <w:color w:val="auto"/>
                <w:kern w:val="0"/>
                <w:sz w:val="24"/>
                <w:lang w:val="en-US" w:eastAsia="zh-CN"/>
              </w:rPr>
              <w:t>1.大</w:t>
            </w:r>
            <w:r>
              <w:rPr>
                <w:rFonts w:hint="eastAsia" w:ascii="仿宋_GB2312" w:hAnsi="仿宋_GB2312" w:eastAsia="仿宋_GB2312" w:cs="仿宋_GB2312"/>
                <w:color w:val="auto"/>
                <w:kern w:val="0"/>
                <w:sz w:val="24"/>
                <w:lang w:val="zh-TW" w:eastAsia="zh-TW"/>
              </w:rPr>
              <w:t>厨余垃圾分流作业：</w:t>
            </w:r>
            <w:r>
              <w:rPr>
                <w:rFonts w:hint="eastAsia" w:ascii="仿宋_GB2312" w:hAnsi="仿宋_GB2312" w:eastAsia="仿宋_GB2312" w:cs="仿宋_GB2312"/>
                <w:color w:val="auto"/>
                <w:kern w:val="0"/>
                <w:sz w:val="24"/>
                <w:lang w:val="zh-TW" w:eastAsia="zh-CN"/>
              </w:rPr>
              <w:t>对石厦村范围内的大</w:t>
            </w:r>
            <w:r>
              <w:rPr>
                <w:rFonts w:hint="eastAsia" w:ascii="仿宋_GB2312" w:hAnsi="仿宋_GB2312" w:eastAsia="仿宋_GB2312" w:cs="仿宋_GB2312"/>
                <w:color w:val="auto"/>
                <w:kern w:val="0"/>
                <w:sz w:val="24"/>
                <w:lang w:val="zh-TW" w:eastAsia="zh-TW"/>
              </w:rPr>
              <w:t>厨余垃圾实行每日收集运输</w:t>
            </w:r>
            <w:r>
              <w:rPr>
                <w:rFonts w:hint="eastAsia" w:ascii="仿宋_GB2312" w:hAnsi="仿宋_GB2312" w:eastAsia="仿宋_GB2312" w:cs="仿宋_GB2312"/>
                <w:color w:val="auto"/>
                <w:kern w:val="0"/>
                <w:sz w:val="24"/>
                <w:lang w:val="zh-TW" w:eastAsia="zh-CN"/>
              </w:rPr>
              <w:t>至垃圾暂存点</w:t>
            </w:r>
            <w:r>
              <w:rPr>
                <w:rFonts w:hint="eastAsia" w:ascii="仿宋_GB2312" w:hAnsi="仿宋_GB2312" w:eastAsia="仿宋_GB2312" w:cs="仿宋_GB2312"/>
                <w:color w:val="auto"/>
                <w:kern w:val="0"/>
                <w:sz w:val="24"/>
                <w:lang w:val="zh-TW" w:eastAsia="zh-TW"/>
              </w:rPr>
              <w:t>，</w:t>
            </w:r>
            <w:r>
              <w:rPr>
                <w:rFonts w:hint="eastAsia" w:ascii="仿宋_GB2312" w:hAnsi="仿宋_GB2312" w:eastAsia="仿宋_GB2312" w:cs="仿宋_GB2312"/>
                <w:color w:val="auto"/>
                <w:kern w:val="0"/>
                <w:sz w:val="24"/>
                <w:lang w:val="zh-TW" w:eastAsia="zh-CN"/>
              </w:rPr>
              <w:t>采取</w:t>
            </w:r>
            <w:r>
              <w:rPr>
                <w:rFonts w:hint="eastAsia" w:ascii="仿宋_GB2312" w:hAnsi="仿宋_GB2312" w:eastAsia="仿宋_GB2312" w:cs="仿宋_GB2312"/>
                <w:color w:val="auto"/>
                <w:kern w:val="0"/>
                <w:sz w:val="24"/>
                <w:lang w:val="zh-TW" w:eastAsia="zh-TW"/>
              </w:rPr>
              <w:t>车辆与人工结合作业模式，保证垃圾日产日清，垃圾收集运输时间安排为上午：8:00-12:00；下午：13:00-17:00；晚上：18:30-22:00</w:t>
            </w:r>
            <w:r>
              <w:rPr>
                <w:rFonts w:hint="eastAsia" w:ascii="仿宋_GB2312" w:hAnsi="仿宋_GB2312" w:eastAsia="仿宋_GB2312" w:cs="仿宋_GB2312"/>
                <w:color w:val="auto"/>
                <w:kern w:val="0"/>
                <w:sz w:val="24"/>
                <w:lang w:val="zh-TW" w:eastAsia="zh-CN"/>
              </w:rPr>
              <w:t>（可根据实际工作需要进行调整）</w:t>
            </w:r>
            <w:r>
              <w:rPr>
                <w:rFonts w:hint="eastAsia" w:ascii="仿宋_GB2312" w:hAnsi="仿宋_GB2312" w:eastAsia="仿宋_GB2312" w:cs="仿宋_GB2312"/>
                <w:color w:val="auto"/>
                <w:kern w:val="0"/>
                <w:sz w:val="24"/>
                <w:lang w:val="zh-TW" w:eastAsia="zh-TW"/>
              </w:rPr>
              <w:t>。每日安排驾驶员和跟车人员</w:t>
            </w:r>
            <w:bookmarkStart w:id="0" w:name="_GoBack"/>
            <w:bookmarkEnd w:id="0"/>
            <w:r>
              <w:rPr>
                <w:rFonts w:hint="eastAsia" w:ascii="仿宋_GB2312" w:hAnsi="仿宋_GB2312" w:eastAsia="仿宋_GB2312" w:cs="仿宋_GB2312"/>
                <w:color w:val="auto"/>
                <w:kern w:val="0"/>
                <w:sz w:val="24"/>
                <w:lang w:val="zh-TW" w:eastAsia="zh-TW"/>
              </w:rPr>
              <w:t>对垃圾进行三次集中收集和运输</w:t>
            </w:r>
            <w:r>
              <w:rPr>
                <w:rFonts w:hint="eastAsia" w:ascii="仿宋_GB2312" w:hAnsi="仿宋_GB2312" w:eastAsia="仿宋_GB2312" w:cs="仿宋_GB2312"/>
                <w:color w:val="auto"/>
                <w:kern w:val="0"/>
                <w:sz w:val="24"/>
                <w:lang w:val="zh-TW" w:eastAsia="zh-CN"/>
              </w:rPr>
              <w:t>，</w:t>
            </w:r>
            <w:r>
              <w:rPr>
                <w:rFonts w:hint="eastAsia" w:ascii="仿宋_GB2312" w:hAnsi="仿宋_GB2312" w:eastAsia="仿宋_GB2312" w:cs="仿宋_GB2312"/>
                <w:color w:val="auto"/>
                <w:kern w:val="0"/>
                <w:sz w:val="24"/>
                <w:lang w:val="zh-TW" w:eastAsia="zh-TW"/>
              </w:rPr>
              <w:t>对垃圾收集后的现场进行清扫整理。对照《垃圾分类工作要求》，做好</w:t>
            </w:r>
            <w:r>
              <w:rPr>
                <w:rFonts w:hint="eastAsia" w:ascii="仿宋_GB2312" w:hAnsi="仿宋_GB2312" w:eastAsia="仿宋_GB2312" w:cs="仿宋_GB2312"/>
                <w:color w:val="auto"/>
                <w:kern w:val="0"/>
                <w:sz w:val="24"/>
                <w:lang w:val="zh-TW" w:eastAsia="zh-CN"/>
              </w:rPr>
              <w:t>石厦村</w:t>
            </w:r>
            <w:r>
              <w:rPr>
                <w:rFonts w:hint="eastAsia" w:ascii="仿宋_GB2312" w:hAnsi="仿宋_GB2312" w:eastAsia="仿宋_GB2312" w:cs="仿宋_GB2312"/>
                <w:color w:val="auto"/>
                <w:kern w:val="0"/>
                <w:sz w:val="24"/>
                <w:lang w:val="zh-TW" w:eastAsia="zh-TW"/>
              </w:rPr>
              <w:t>垃圾收集</w:t>
            </w:r>
            <w:r>
              <w:rPr>
                <w:rFonts w:hint="eastAsia" w:ascii="仿宋_GB2312" w:hAnsi="仿宋_GB2312" w:eastAsia="仿宋_GB2312" w:cs="仿宋_GB2312"/>
                <w:color w:val="auto"/>
                <w:kern w:val="0"/>
                <w:sz w:val="24"/>
                <w:lang w:val="zh-TW" w:eastAsia="zh-CN"/>
              </w:rPr>
              <w:t>清运</w:t>
            </w:r>
            <w:r>
              <w:rPr>
                <w:rFonts w:hint="eastAsia" w:ascii="仿宋_GB2312" w:hAnsi="仿宋_GB2312" w:eastAsia="仿宋_GB2312" w:cs="仿宋_GB2312"/>
                <w:color w:val="auto"/>
                <w:kern w:val="0"/>
                <w:sz w:val="24"/>
                <w:lang w:val="zh-TW" w:eastAsia="zh-TW"/>
              </w:rPr>
              <w:t>、建立</w:t>
            </w:r>
            <w:r>
              <w:rPr>
                <w:rFonts w:hint="eastAsia" w:ascii="仿宋_GB2312" w:hAnsi="仿宋_GB2312" w:eastAsia="仿宋_GB2312" w:cs="仿宋_GB2312"/>
                <w:color w:val="auto"/>
                <w:kern w:val="0"/>
                <w:sz w:val="24"/>
                <w:lang w:val="zh-TW" w:eastAsia="zh-CN"/>
              </w:rPr>
              <w:t>石厦村垃圾分类各种</w:t>
            </w:r>
            <w:r>
              <w:rPr>
                <w:rFonts w:hint="eastAsia" w:ascii="仿宋_GB2312" w:hAnsi="仿宋_GB2312" w:eastAsia="仿宋_GB2312" w:cs="仿宋_GB2312"/>
                <w:color w:val="auto"/>
                <w:kern w:val="0"/>
                <w:sz w:val="24"/>
                <w:lang w:val="zh-TW" w:eastAsia="zh-TW"/>
              </w:rPr>
              <w:t>台账等工作。</w:t>
            </w:r>
            <w:r>
              <w:rPr>
                <w:rFonts w:hint="eastAsia" w:ascii="仿宋_GB2312" w:hAnsi="仿宋_GB2312" w:eastAsia="仿宋_GB2312" w:cs="仿宋_GB2312"/>
                <w:color w:val="auto"/>
                <w:kern w:val="0"/>
                <w:sz w:val="24"/>
                <w:lang w:val="zh-TW" w:eastAsia="zh-CN"/>
              </w:rPr>
              <w:t>项目服务作业人员不少于</w:t>
            </w:r>
            <w:r>
              <w:rPr>
                <w:rFonts w:hint="eastAsia" w:ascii="仿宋_GB2312" w:hAnsi="仿宋_GB2312" w:eastAsia="仿宋_GB2312" w:cs="仿宋_GB2312"/>
                <w:color w:val="auto"/>
                <w:kern w:val="0"/>
                <w:sz w:val="24"/>
                <w:lang w:val="en-US" w:eastAsia="zh-CN"/>
              </w:rPr>
              <w:t>4人、配置垃圾收运车辆（小型运输车）不少于2台。</w:t>
            </w:r>
          </w:p>
          <w:p>
            <w:pPr>
              <w:widowControl/>
              <w:spacing w:line="240" w:lineRule="auto"/>
              <w:ind w:firstLine="0" w:firstLineChars="0"/>
              <w:jc w:val="left"/>
              <w:rPr>
                <w:rFonts w:ascii="仿宋_GB2312" w:hAnsi="仿宋_GB2312" w:eastAsia="仿宋_GB2312" w:cs="仿宋_GB2312"/>
                <w:color w:val="auto"/>
                <w:kern w:val="0"/>
                <w:sz w:val="24"/>
              </w:rPr>
            </w:pPr>
            <w:r>
              <w:rPr>
                <w:rFonts w:hint="eastAsia" w:ascii="仿宋_GB2312" w:hAnsi="仿宋_GB2312" w:eastAsia="仿宋_GB2312" w:cs="仿宋_GB2312"/>
                <w:color w:val="auto"/>
                <w:kern w:val="0"/>
                <w:sz w:val="24"/>
                <w:lang w:val="en-US" w:eastAsia="zh-CN"/>
              </w:rPr>
              <w:t>2.</w:t>
            </w:r>
            <w:r>
              <w:rPr>
                <w:rFonts w:hint="eastAsia" w:ascii="仿宋_GB2312" w:hAnsi="仿宋_GB2312" w:eastAsia="仿宋_GB2312" w:cs="仿宋_GB2312"/>
                <w:color w:val="auto"/>
                <w:kern w:val="0"/>
                <w:sz w:val="24"/>
              </w:rPr>
              <w:t>“一店一码”应用</w:t>
            </w:r>
            <w:r>
              <w:rPr>
                <w:rFonts w:hint="eastAsia" w:ascii="仿宋_GB2312" w:hAnsi="仿宋_GB2312" w:eastAsia="仿宋_GB2312" w:cs="仿宋_GB2312"/>
                <w:color w:val="auto"/>
                <w:kern w:val="0"/>
                <w:sz w:val="24"/>
                <w:lang w:eastAsia="zh-CN"/>
              </w:rPr>
              <w:t>：为每家商铺做好一店一码应用及使用，运用大数据分析及溯源商铺每日大厨余产出量。</w:t>
            </w:r>
          </w:p>
        </w:tc>
      </w:tr>
      <w:tr>
        <w:tblPrEx>
          <w:tblCellMar>
            <w:top w:w="0" w:type="dxa"/>
            <w:left w:w="108" w:type="dxa"/>
            <w:bottom w:w="0" w:type="dxa"/>
            <w:right w:w="108" w:type="dxa"/>
          </w:tblCellMar>
        </w:tblPrEx>
        <w:trPr>
          <w:trHeight w:val="1443" w:hRule="atLeast"/>
        </w:trPr>
        <w:tc>
          <w:tcPr>
            <w:tcW w:w="570" w:type="pct"/>
            <w:vMerge w:val="continue"/>
            <w:tcBorders>
              <w:top w:val="nil"/>
              <w:left w:val="single" w:color="auto" w:sz="4" w:space="0"/>
              <w:bottom w:val="single" w:color="auto" w:sz="4" w:space="0"/>
              <w:right w:val="single" w:color="auto" w:sz="4" w:space="0"/>
            </w:tcBorders>
            <w:vAlign w:val="center"/>
          </w:tcPr>
          <w:p>
            <w:pPr>
              <w:widowControl/>
              <w:spacing w:line="240" w:lineRule="auto"/>
              <w:ind w:firstLine="0" w:firstLineChars="0"/>
              <w:jc w:val="center"/>
              <w:rPr>
                <w:rFonts w:ascii="仿宋_GB2312" w:hAnsi="仿宋_GB2312" w:eastAsia="仿宋_GB2312" w:cs="仿宋_GB2312"/>
                <w:color w:val="auto"/>
                <w:kern w:val="0"/>
                <w:sz w:val="24"/>
              </w:rPr>
            </w:pPr>
          </w:p>
        </w:tc>
        <w:tc>
          <w:tcPr>
            <w:tcW w:w="4429" w:type="pct"/>
            <w:gridSpan w:val="4"/>
            <w:tcBorders>
              <w:top w:val="single" w:color="auto" w:sz="4" w:space="0"/>
              <w:left w:val="nil"/>
              <w:bottom w:val="single" w:color="auto" w:sz="4" w:space="0"/>
              <w:right w:val="single" w:color="auto" w:sz="4" w:space="0"/>
            </w:tcBorders>
          </w:tcPr>
          <w:p>
            <w:pPr>
              <w:widowControl/>
              <w:spacing w:line="240" w:lineRule="auto"/>
              <w:ind w:firstLine="0" w:firstLineChars="0"/>
              <w:jc w:val="left"/>
              <w:rPr>
                <w:rFonts w:ascii="仿宋_GB2312" w:hAnsi="仿宋_GB2312" w:eastAsia="仿宋_GB2312" w:cs="仿宋_GB2312"/>
                <w:color w:val="auto"/>
                <w:kern w:val="0"/>
                <w:sz w:val="24"/>
              </w:rPr>
            </w:pPr>
            <w:r>
              <w:rPr>
                <w:rFonts w:hint="eastAsia" w:ascii="仿宋_GB2312" w:hAnsi="仿宋_GB2312" w:eastAsia="仿宋_GB2312" w:cs="仿宋_GB2312"/>
                <w:color w:val="auto"/>
                <w:kern w:val="0"/>
                <w:sz w:val="24"/>
              </w:rPr>
              <w:t>项目商务要求：</w:t>
            </w:r>
          </w:p>
          <w:p>
            <w:pPr>
              <w:widowControl/>
              <w:spacing w:line="240" w:lineRule="auto"/>
              <w:ind w:firstLine="0" w:firstLineChars="0"/>
              <w:jc w:val="left"/>
              <w:rPr>
                <w:rFonts w:ascii="仿宋_GB2312" w:hAnsi="仿宋_GB2312" w:eastAsia="仿宋_GB2312" w:cs="仿宋_GB2312"/>
                <w:color w:val="auto"/>
                <w:kern w:val="0"/>
                <w:sz w:val="24"/>
              </w:rPr>
            </w:pPr>
            <w:r>
              <w:rPr>
                <w:rFonts w:hint="eastAsia" w:ascii="仿宋_GB2312" w:hAnsi="仿宋_GB2312" w:eastAsia="仿宋_GB2312" w:cs="仿宋_GB2312"/>
                <w:color w:val="auto"/>
                <w:kern w:val="0"/>
                <w:sz w:val="24"/>
              </w:rPr>
              <w:t>1.服务期限：</w:t>
            </w:r>
            <w:r>
              <w:rPr>
                <w:rFonts w:hint="eastAsia" w:ascii="仿宋_GB2312" w:hAnsi="仿宋_GB2312" w:eastAsia="仿宋_GB2312" w:cs="仿宋_GB2312"/>
                <w:color w:val="auto"/>
                <w:kern w:val="0"/>
                <w:sz w:val="24"/>
                <w:lang w:val="en-US" w:eastAsia="zh-CN"/>
              </w:rPr>
              <w:t>2024年2月1日-2024年7月31日</w:t>
            </w:r>
          </w:p>
          <w:p>
            <w:pPr>
              <w:widowControl/>
              <w:spacing w:line="240" w:lineRule="auto"/>
              <w:ind w:firstLine="0" w:firstLineChars="0"/>
              <w:jc w:val="left"/>
              <w:rPr>
                <w:rFonts w:ascii="仿宋_GB2312" w:hAnsi="仿宋_GB2312" w:eastAsia="仿宋_GB2312" w:cs="仿宋_GB2312"/>
                <w:color w:val="auto"/>
                <w:kern w:val="0"/>
                <w:sz w:val="24"/>
              </w:rPr>
            </w:pPr>
            <w:r>
              <w:rPr>
                <w:rFonts w:hint="eastAsia" w:ascii="仿宋_GB2312" w:hAnsi="仿宋_GB2312" w:eastAsia="仿宋_GB2312" w:cs="仿宋_GB2312"/>
                <w:color w:val="auto"/>
                <w:kern w:val="0"/>
                <w:sz w:val="24"/>
              </w:rPr>
              <w:t>2.付款方式：</w:t>
            </w:r>
          </w:p>
          <w:p>
            <w:pPr>
              <w:widowControl/>
              <w:spacing w:line="240" w:lineRule="auto"/>
              <w:ind w:firstLine="0" w:firstLineChars="0"/>
              <w:jc w:val="left"/>
              <w:rPr>
                <w:rFonts w:ascii="仿宋_GB2312" w:hAnsi="仿宋_GB2312" w:eastAsia="仿宋_GB2312" w:cs="仿宋_GB2312"/>
                <w:color w:val="auto"/>
                <w:kern w:val="0"/>
                <w:sz w:val="24"/>
              </w:rPr>
            </w:pPr>
            <w:r>
              <w:rPr>
                <w:rFonts w:hint="eastAsia" w:ascii="仿宋_GB2312" w:hAnsi="仿宋_GB2312" w:eastAsia="仿宋_GB2312" w:cs="仿宋_GB2312"/>
                <w:color w:val="auto"/>
                <w:kern w:val="0"/>
                <w:sz w:val="24"/>
              </w:rPr>
              <w:t>本项目合同方式为总价合同，结算时按月结算，中标单位每月10日前向采购人提供相应金额的正式税务发票，采购人每月25日前予以结算上个月服务费。因中标供应商延迟提供税务发票或因采购方经费审批流程原因造成延误的，采购方付款时间相应顺延。</w:t>
            </w:r>
          </w:p>
        </w:tc>
      </w:tr>
      <w:tr>
        <w:tblPrEx>
          <w:tblCellMar>
            <w:top w:w="0" w:type="dxa"/>
            <w:left w:w="108" w:type="dxa"/>
            <w:bottom w:w="0" w:type="dxa"/>
            <w:right w:w="108" w:type="dxa"/>
          </w:tblCellMar>
        </w:tblPrEx>
        <w:trPr>
          <w:trHeight w:val="1430" w:hRule="atLeast"/>
        </w:trPr>
        <w:tc>
          <w:tcPr>
            <w:tcW w:w="570" w:type="pct"/>
            <w:tcBorders>
              <w:top w:val="nil"/>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投标人资质要求</w:t>
            </w:r>
          </w:p>
        </w:tc>
        <w:tc>
          <w:tcPr>
            <w:tcW w:w="4429" w:type="pct"/>
            <w:gridSpan w:val="4"/>
            <w:tcBorders>
              <w:top w:val="single" w:color="auto" w:sz="4" w:space="0"/>
              <w:left w:val="nil"/>
              <w:bottom w:val="single" w:color="auto" w:sz="4" w:space="0"/>
              <w:right w:val="single" w:color="auto" w:sz="4" w:space="0"/>
            </w:tcBorders>
          </w:tcPr>
          <w:p>
            <w:pPr>
              <w:widowControl/>
              <w:spacing w:line="240" w:lineRule="auto"/>
              <w:ind w:firstLine="0" w:firstLineChars="0"/>
              <w:jc w:val="left"/>
              <w:rPr>
                <w:rFonts w:ascii="仿宋_GB2312" w:hAnsi="仿宋_GB2312" w:eastAsia="仿宋_GB2312" w:cs="仿宋_GB2312"/>
                <w:kern w:val="0"/>
                <w:sz w:val="24"/>
              </w:rPr>
            </w:pPr>
            <w:r>
              <w:rPr>
                <w:rFonts w:hint="eastAsia" w:ascii="仿宋_GB2312" w:hAnsi="仿宋_GB2312" w:eastAsia="仿宋_GB2312" w:cs="仿宋_GB2312"/>
                <w:kern w:val="0"/>
                <w:sz w:val="24"/>
              </w:rPr>
              <w:t>1.具有独立法人资格或具有独立承担民事责任的能力的其它组织（提供营业执照或事业单位法人证等法人证明扫描件，原件备查）。</w:t>
            </w:r>
          </w:p>
          <w:p>
            <w:pPr>
              <w:widowControl/>
              <w:spacing w:line="240" w:lineRule="auto"/>
              <w:ind w:firstLine="0" w:firstLineChars="0"/>
              <w:jc w:val="left"/>
              <w:rPr>
                <w:rFonts w:ascii="仿宋_GB2312" w:hAnsi="仿宋_GB2312" w:eastAsia="仿宋_GB2312" w:cs="仿宋_GB2312"/>
                <w:kern w:val="0"/>
                <w:sz w:val="24"/>
              </w:rPr>
            </w:pPr>
            <w:r>
              <w:rPr>
                <w:rFonts w:hint="eastAsia" w:ascii="仿宋_GB2312" w:hAnsi="仿宋_GB2312" w:eastAsia="仿宋_GB2312" w:cs="仿宋_GB2312"/>
                <w:kern w:val="0"/>
                <w:sz w:val="24"/>
              </w:rPr>
              <w:t>2.本项目不接受联合体投标。</w:t>
            </w:r>
          </w:p>
          <w:p>
            <w:pPr>
              <w:widowControl/>
              <w:spacing w:line="240" w:lineRule="auto"/>
              <w:ind w:firstLine="0" w:firstLineChars="0"/>
              <w:jc w:val="left"/>
              <w:rPr>
                <w:rFonts w:ascii="仿宋_GB2312" w:hAnsi="仿宋_GB2312" w:eastAsia="仿宋_GB2312" w:cs="仿宋_GB2312"/>
                <w:kern w:val="0"/>
                <w:sz w:val="24"/>
              </w:rPr>
            </w:pPr>
            <w:r>
              <w:rPr>
                <w:rFonts w:hint="eastAsia" w:ascii="仿宋_GB2312" w:hAnsi="仿宋_GB2312" w:eastAsia="仿宋_GB2312" w:cs="仿宋_GB2312"/>
                <w:kern w:val="0"/>
                <w:sz w:val="24"/>
              </w:rPr>
              <w:t>3.参与本项目投标前三年内，在经营活动中没有重大违法记录；参与本项目政府采购活动时不存在被有关部门禁止参与政府采购活动且在有效期内的情况；具备《中华人民共和国政府采购法》第二十二条第一款的条件；参与政府采购项目投标的供应商未被列入失信被执行人、重大税收违法案件当事人名单、政府采购严重违法失信行为记录名单。</w:t>
            </w:r>
          </w:p>
        </w:tc>
      </w:tr>
      <w:tr>
        <w:tblPrEx>
          <w:tblCellMar>
            <w:top w:w="0" w:type="dxa"/>
            <w:left w:w="108" w:type="dxa"/>
            <w:bottom w:w="0" w:type="dxa"/>
            <w:right w:w="108" w:type="dxa"/>
          </w:tblCellMar>
        </w:tblPrEx>
        <w:trPr>
          <w:trHeight w:val="1270" w:hRule="atLeast"/>
        </w:trPr>
        <w:tc>
          <w:tcPr>
            <w:tcW w:w="570" w:type="pct"/>
            <w:tcBorders>
              <w:top w:val="nil"/>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投标人需提供资料</w:t>
            </w:r>
          </w:p>
        </w:tc>
        <w:tc>
          <w:tcPr>
            <w:tcW w:w="4429" w:type="pct"/>
            <w:gridSpan w:val="4"/>
            <w:tcBorders>
              <w:top w:val="single" w:color="auto" w:sz="4" w:space="0"/>
              <w:left w:val="nil"/>
              <w:bottom w:val="single" w:color="auto" w:sz="4" w:space="0"/>
              <w:right w:val="single" w:color="auto" w:sz="4" w:space="0"/>
            </w:tcBorders>
          </w:tcPr>
          <w:p>
            <w:pPr>
              <w:widowControl/>
              <w:spacing w:line="240" w:lineRule="auto"/>
              <w:ind w:firstLine="0" w:firstLineChars="0"/>
              <w:jc w:val="left"/>
              <w:rPr>
                <w:rFonts w:hint="eastAsia" w:ascii="仿宋_GB2312" w:hAnsi="仿宋_GB2312" w:eastAsia="仿宋_GB2312" w:cs="仿宋_GB2312"/>
                <w:kern w:val="0"/>
                <w:sz w:val="24"/>
                <w:lang w:val="en-US" w:eastAsia="zh-CN"/>
              </w:rPr>
            </w:pPr>
            <w:r>
              <w:rPr>
                <w:rFonts w:hint="eastAsia" w:ascii="仿宋_GB2312" w:hAnsi="仿宋_GB2312" w:eastAsia="仿宋_GB2312" w:cs="仿宋_GB2312"/>
                <w:kern w:val="0"/>
                <w:sz w:val="24"/>
                <w:lang w:val="en-US" w:eastAsia="zh-CN"/>
              </w:rPr>
              <w:t>1、营业执照、经营范围等相关资质复印件；</w:t>
            </w:r>
          </w:p>
          <w:p>
            <w:pPr>
              <w:widowControl/>
              <w:spacing w:line="240" w:lineRule="auto"/>
              <w:ind w:firstLine="0" w:firstLineChars="0"/>
              <w:jc w:val="left"/>
              <w:rPr>
                <w:rFonts w:hint="eastAsia" w:ascii="仿宋_GB2312" w:hAnsi="仿宋_GB2312" w:eastAsia="仿宋_GB2312" w:cs="仿宋_GB2312"/>
                <w:kern w:val="0"/>
                <w:sz w:val="24"/>
                <w:lang w:val="en-US" w:eastAsia="zh-CN"/>
              </w:rPr>
            </w:pPr>
            <w:r>
              <w:rPr>
                <w:rFonts w:hint="eastAsia" w:ascii="仿宋_GB2312" w:hAnsi="仿宋_GB2312" w:eastAsia="仿宋_GB2312" w:cs="仿宋_GB2312"/>
                <w:kern w:val="0"/>
                <w:sz w:val="24"/>
                <w:lang w:val="en-US" w:eastAsia="zh-CN"/>
              </w:rPr>
              <w:t>2、投标报价单；</w:t>
            </w:r>
          </w:p>
          <w:p>
            <w:pPr>
              <w:widowControl/>
              <w:spacing w:line="240" w:lineRule="auto"/>
              <w:ind w:firstLine="0" w:firstLineChars="0"/>
              <w:jc w:val="left"/>
              <w:rPr>
                <w:rFonts w:hint="eastAsia" w:ascii="仿宋_GB2312" w:hAnsi="仿宋_GB2312" w:eastAsia="仿宋_GB2312" w:cs="仿宋_GB2312"/>
                <w:kern w:val="0"/>
                <w:sz w:val="24"/>
                <w:lang w:val="en-US" w:eastAsia="zh-CN"/>
              </w:rPr>
            </w:pPr>
            <w:r>
              <w:rPr>
                <w:rFonts w:hint="eastAsia" w:ascii="仿宋_GB2312" w:hAnsi="仿宋_GB2312" w:eastAsia="仿宋_GB2312" w:cs="仿宋_GB2312"/>
                <w:kern w:val="0"/>
                <w:sz w:val="24"/>
                <w:lang w:val="en-US" w:eastAsia="zh-CN"/>
              </w:rPr>
              <w:t>3、公司详细简介；</w:t>
            </w:r>
          </w:p>
          <w:p>
            <w:pPr>
              <w:widowControl/>
              <w:spacing w:line="240" w:lineRule="auto"/>
              <w:ind w:firstLine="0" w:firstLineChars="0"/>
              <w:jc w:val="left"/>
              <w:rPr>
                <w:rFonts w:hint="eastAsia" w:ascii="仿宋_GB2312" w:hAnsi="仿宋_GB2312" w:eastAsia="仿宋_GB2312" w:cs="仿宋_GB2312"/>
                <w:kern w:val="0"/>
                <w:sz w:val="24"/>
                <w:lang w:val="en-US" w:eastAsia="zh-CN"/>
              </w:rPr>
            </w:pPr>
            <w:r>
              <w:rPr>
                <w:rFonts w:hint="eastAsia" w:ascii="仿宋_GB2312" w:hAnsi="仿宋_GB2312" w:eastAsia="仿宋_GB2312" w:cs="仿宋_GB2312"/>
                <w:kern w:val="0"/>
                <w:sz w:val="24"/>
                <w:lang w:val="en-US" w:eastAsia="zh-CN"/>
              </w:rPr>
              <w:t>4、项目相关案例、业绩等；</w:t>
            </w:r>
          </w:p>
          <w:p>
            <w:pPr>
              <w:widowControl/>
              <w:spacing w:line="240" w:lineRule="auto"/>
              <w:ind w:firstLine="0" w:firstLineChars="0"/>
              <w:jc w:val="left"/>
              <w:rPr>
                <w:rFonts w:hint="eastAsia" w:ascii="仿宋_GB2312" w:hAnsi="仿宋_GB2312" w:eastAsia="仿宋_GB2312" w:cs="仿宋_GB2312"/>
                <w:kern w:val="0"/>
                <w:sz w:val="24"/>
                <w:lang w:val="en-US" w:eastAsia="zh-CN"/>
              </w:rPr>
            </w:pPr>
            <w:r>
              <w:rPr>
                <w:rFonts w:hint="eastAsia" w:ascii="仿宋_GB2312" w:hAnsi="仿宋_GB2312" w:eastAsia="仿宋_GB2312" w:cs="仿宋_GB2312"/>
                <w:kern w:val="0"/>
                <w:sz w:val="24"/>
                <w:lang w:val="en-US" w:eastAsia="zh-CN"/>
              </w:rPr>
              <w:t>5、近三年内无行贿犯罪记录、无重大违法经营记录的声明和不存在处于被禁止参与政府采购活动期限内情形的声明函（声明函格式自拟）；</w:t>
            </w:r>
          </w:p>
          <w:p>
            <w:pPr>
              <w:widowControl/>
              <w:spacing w:line="240" w:lineRule="auto"/>
              <w:ind w:firstLine="0" w:firstLineChars="0"/>
              <w:jc w:val="left"/>
              <w:rPr>
                <w:rFonts w:hint="eastAsia" w:ascii="仿宋_GB2312" w:hAnsi="仿宋_GB2312" w:eastAsia="仿宋_GB2312" w:cs="仿宋_GB2312"/>
                <w:kern w:val="0"/>
                <w:sz w:val="24"/>
                <w:lang w:val="en-US" w:eastAsia="zh-CN"/>
              </w:rPr>
            </w:pPr>
            <w:r>
              <w:rPr>
                <w:rFonts w:hint="eastAsia" w:ascii="仿宋_GB2312" w:hAnsi="仿宋_GB2312" w:eastAsia="仿宋_GB2312" w:cs="仿宋_GB2312"/>
                <w:kern w:val="0"/>
                <w:sz w:val="24"/>
                <w:lang w:val="en-US" w:eastAsia="zh-CN"/>
              </w:rPr>
              <w:t>6、可体现投标人综合实力及运营管理能力的其他资料。</w:t>
            </w:r>
          </w:p>
          <w:p>
            <w:pPr>
              <w:widowControl/>
              <w:spacing w:line="240" w:lineRule="auto"/>
              <w:ind w:firstLine="0" w:firstLineChars="0"/>
              <w:jc w:val="left"/>
              <w:rPr>
                <w:rFonts w:hint="eastAsia" w:ascii="仿宋_GB2312" w:hAnsi="仿宋_GB2312" w:eastAsia="仿宋_GB2312" w:cs="仿宋_GB2312"/>
                <w:kern w:val="0"/>
                <w:sz w:val="24"/>
                <w:lang w:val="en-US" w:eastAsia="zh-CN"/>
              </w:rPr>
            </w:pPr>
            <w:r>
              <w:rPr>
                <w:rFonts w:hint="eastAsia" w:ascii="仿宋_GB2312" w:hAnsi="仿宋_GB2312" w:eastAsia="仿宋_GB2312" w:cs="仿宋_GB2312"/>
                <w:kern w:val="0"/>
                <w:sz w:val="24"/>
                <w:lang w:val="en-US" w:eastAsia="zh-CN"/>
              </w:rPr>
              <w:t>以上文件均需每页加盖单位公章并装订成册，且应将资料密封存入不透明文件袋中，贴密封条并加盖公章，否则视为无效投标。</w:t>
            </w:r>
          </w:p>
        </w:tc>
      </w:tr>
    </w:tbl>
    <w:p>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黑体" w:hAnsi="黑体" w:eastAsia="黑体" w:cs="黑体"/>
          <w:sz w:val="32"/>
          <w:szCs w:val="32"/>
          <w:lang w:val="en-US" w:eastAsia="zh-CN"/>
        </w:rPr>
      </w:pPr>
    </w:p>
    <w:sectPr>
      <w:footerReference r:id="rId3" w:type="default"/>
      <w:pgSz w:w="11906" w:h="16838"/>
      <w:pgMar w:top="1361" w:right="1361" w:bottom="1361" w:left="1361" w:header="851" w:footer="992" w:gutter="0"/>
      <w:pgBorders>
        <w:top w:val="none" w:sz="0" w:space="0"/>
        <w:left w:val="none" w:sz="0" w:space="0"/>
        <w:bottom w:val="none" w:sz="0" w:space="0"/>
        <w:right w:val="none" w:sz="0" w:space="0"/>
      </w:pgBorders>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Nimbus Roman No9 L"/>
    <w:panose1 w:val="02020603050405020304"/>
    <w:charset w:val="86"/>
    <w:family w:val="auto"/>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panose1 w:val="02010609030101010101"/>
    <w:charset w:val="86"/>
    <w:family w:val="auto"/>
    <w:pitch w:val="default"/>
    <w:sig w:usb0="00000001" w:usb1="080E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Wingdings 2">
    <w:panose1 w:val="05020102010507070707"/>
    <w:charset w:val="02"/>
    <w:family w:val="roman"/>
    <w:pitch w:val="default"/>
    <w:sig w:usb0="00000000" w:usb1="00000000" w:usb2="00000000" w:usb3="00000000" w:csb0="80000000" w:csb1="0000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Nimbus Roman No9 L">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FgAAAGRycy9QSwECFAAUAAAACACH&#10;TuJAs0lY7tAAAAAFAQAADwAAAAAAAAABACAAAAA4AAAAZHJzL2Rvd25yZXYueG1sUEsBAhQAFAAA&#10;AAgAh07iQCYa0m4aAgAAKQQAAA4AAAAAAAAAAQAgAAAANQEAAGRycy9lMm9Eb2MueG1sUEsFBgAA&#10;AAAGAAYAWQEAAMEFAAAAAA==&#10;">
              <v:fill on="f" focussize="0,0"/>
              <v:stroke on="f" weight="0.5pt"/>
              <v:imagedata o:title=""/>
              <o:lock v:ext="edit" aspectratio="f"/>
              <v:textbox inset="0mm,0mm,0mm,0mm" style="mso-fit-shape-to-text:t;">
                <w:txbxContent>
                  <w:p>
                    <w:pPr>
                      <w:pStyle w:val="4"/>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false"/>
  <w:bordersDoNotSurroundFooter w:val="false"/>
  <w:documentProtection w:enforcement="0"/>
  <w:defaultTabStop w:val="420"/>
  <w:drawingGridVerticalSpacing w:val="156"/>
  <w:displayHorizontalDrawingGridEvery w:val="1"/>
  <w:displayVerticalDrawingGridEvery w:val="1"/>
  <w:noPunctuationKerning w:val="true"/>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2IwZTcxOGRmZTBkZDFlNDA3NmY3MjQxMDQwZjljYjQifQ=="/>
  </w:docVars>
  <w:rsids>
    <w:rsidRoot w:val="194B399D"/>
    <w:rsid w:val="091C13C7"/>
    <w:rsid w:val="0A4669B5"/>
    <w:rsid w:val="11312983"/>
    <w:rsid w:val="14C24AD9"/>
    <w:rsid w:val="172B7C90"/>
    <w:rsid w:val="172C00A3"/>
    <w:rsid w:val="18B761FE"/>
    <w:rsid w:val="194B399D"/>
    <w:rsid w:val="1AF3636A"/>
    <w:rsid w:val="1CD203FA"/>
    <w:rsid w:val="1D1041D7"/>
    <w:rsid w:val="1D1541BD"/>
    <w:rsid w:val="20DF7A05"/>
    <w:rsid w:val="251026CF"/>
    <w:rsid w:val="2E544988"/>
    <w:rsid w:val="2FBB6ACC"/>
    <w:rsid w:val="304A7E50"/>
    <w:rsid w:val="334D7C7F"/>
    <w:rsid w:val="340E45C5"/>
    <w:rsid w:val="3F1434CE"/>
    <w:rsid w:val="416451E2"/>
    <w:rsid w:val="447E6A90"/>
    <w:rsid w:val="4E144BA8"/>
    <w:rsid w:val="4E1E0521"/>
    <w:rsid w:val="55E5368E"/>
    <w:rsid w:val="587C663C"/>
    <w:rsid w:val="5A771A36"/>
    <w:rsid w:val="5C8F69B7"/>
    <w:rsid w:val="5EBA216A"/>
    <w:rsid w:val="66AD6A92"/>
    <w:rsid w:val="66C374B6"/>
    <w:rsid w:val="6A1555D3"/>
    <w:rsid w:val="6DE709B3"/>
    <w:rsid w:val="71742131"/>
    <w:rsid w:val="7AF7A7F5"/>
    <w:rsid w:val="7E97605D"/>
    <w:rsid w:val="7F34677C"/>
    <w:rsid w:val="D6DE0961"/>
    <w:rsid w:val="F7FE8512"/>
    <w:rsid w:val="FB3FFC0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iPriority="9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9">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Body Text"/>
    <w:basedOn w:val="1"/>
    <w:next w:val="1"/>
    <w:qFormat/>
    <w:uiPriority w:val="1"/>
    <w:pPr>
      <w:widowControl w:val="0"/>
      <w:autoSpaceDE w:val="0"/>
      <w:autoSpaceDN w:val="0"/>
      <w:spacing w:before="0" w:after="0" w:line="240" w:lineRule="auto"/>
      <w:ind w:left="106" w:right="0"/>
      <w:jc w:val="left"/>
    </w:pPr>
    <w:rPr>
      <w:rFonts w:ascii="仿宋_GB2312" w:hAnsi="仿宋_GB2312" w:eastAsia="仿宋_GB2312" w:cs="仿宋_GB2312"/>
      <w:sz w:val="32"/>
      <w:szCs w:val="32"/>
      <w:lang w:val="zh-CN" w:eastAsia="zh-CN" w:bidi="zh-CN"/>
    </w:rPr>
  </w:style>
  <w:style w:type="paragraph" w:styleId="3">
    <w:name w:val="Normal Indent"/>
    <w:basedOn w:val="1"/>
    <w:qFormat/>
    <w:uiPriority w:val="0"/>
    <w:pPr>
      <w:spacing w:line="560" w:lineRule="exact"/>
      <w:ind w:firstLine="420" w:firstLineChars="200"/>
    </w:p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Body Text First Indent"/>
    <w:next w:val="1"/>
    <w:qFormat/>
    <w:uiPriority w:val="0"/>
    <w:pPr>
      <w:widowControl w:val="0"/>
      <w:autoSpaceDE w:val="0"/>
      <w:autoSpaceDN w:val="0"/>
      <w:spacing w:before="0" w:after="120" w:line="240" w:lineRule="auto"/>
      <w:ind w:left="106" w:right="0" w:firstLine="420" w:firstLineChars="100"/>
      <w:jc w:val="left"/>
    </w:pPr>
    <w:rPr>
      <w:rFonts w:ascii="Calibri" w:hAnsi="仿宋_GB2312" w:eastAsia="仿宋_GB2312" w:cs="仿宋_GB2312"/>
      <w:kern w:val="2"/>
      <w:sz w:val="32"/>
      <w:szCs w:val="32"/>
      <w:lang w:val="zh-CN" w:eastAsia="zh-CN" w:bidi="zh-CN"/>
    </w:rPr>
  </w:style>
  <w:style w:type="table" w:styleId="8">
    <w:name w:val="Table Grid"/>
    <w:basedOn w:val="7"/>
    <w:unhideWhenUsed/>
    <w:qFormat/>
    <w:uiPriority w:val="9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footnote reference"/>
    <w:basedOn w:val="9"/>
    <w:qFormat/>
    <w:uiPriority w:val="0"/>
    <w:rPr>
      <w:vertAlign w:val="superscript"/>
    </w:rPr>
  </w:style>
  <w:style w:type="character" w:customStyle="1" w:styleId="11">
    <w:name w:val="font11"/>
    <w:basedOn w:val="9"/>
    <w:qFormat/>
    <w:uiPriority w:val="0"/>
    <w:rPr>
      <w:rFonts w:hint="eastAsia" w:ascii="仿宋_GB2312" w:eastAsia="仿宋_GB2312" w:cs="仿宋_GB2312"/>
      <w:color w:val="000000"/>
      <w:sz w:val="28"/>
      <w:szCs w:val="28"/>
      <w:u w:val="none"/>
    </w:rPr>
  </w:style>
  <w:style w:type="paragraph" w:customStyle="1" w:styleId="12">
    <w:name w:val="列出段落3"/>
    <w:basedOn w:val="1"/>
    <w:unhideWhenUsed/>
    <w:qFormat/>
    <w:uiPriority w:val="99"/>
    <w:pPr>
      <w:ind w:firstLine="420" w:firstLineChars="200"/>
    </w:pPr>
  </w:style>
  <w:style w:type="paragraph" w:customStyle="1" w:styleId="13">
    <w:name w:val="Heading #1|1"/>
    <w:basedOn w:val="1"/>
    <w:qFormat/>
    <w:uiPriority w:val="0"/>
    <w:pPr>
      <w:spacing w:after="580" w:line="590" w:lineRule="exact"/>
      <w:jc w:val="center"/>
      <w:outlineLvl w:val="0"/>
    </w:pPr>
    <w:rPr>
      <w:rFonts w:ascii="宋体" w:hAnsi="宋体" w:eastAsia="宋体" w:cs="宋体"/>
      <w:sz w:val="44"/>
      <w:szCs w:val="44"/>
      <w:lang w:val="zh-TW" w:eastAsia="zh-TW" w:bidi="zh-TW"/>
    </w:rPr>
  </w:style>
  <w:style w:type="paragraph" w:customStyle="1" w:styleId="14">
    <w:name w:val="Other|1"/>
    <w:basedOn w:val="1"/>
    <w:qFormat/>
    <w:uiPriority w:val="0"/>
    <w:rPr>
      <w:rFonts w:ascii="宋体" w:hAnsi="宋体" w:eastAsia="宋体" w:cs="宋体"/>
      <w:sz w:val="20"/>
      <w:szCs w:val="20"/>
      <w:lang w:val="zh-TW" w:eastAsia="zh-TW" w:bidi="zh-TW"/>
    </w:rPr>
  </w:style>
  <w:style w:type="paragraph" w:customStyle="1" w:styleId="15">
    <w:name w:val="Body text|1"/>
    <w:basedOn w:val="1"/>
    <w:qFormat/>
    <w:uiPriority w:val="0"/>
    <w:pPr>
      <w:spacing w:line="432" w:lineRule="auto"/>
      <w:ind w:firstLine="400"/>
    </w:pPr>
    <w:rPr>
      <w:rFonts w:ascii="宋体" w:hAnsi="宋体" w:eastAsia="宋体" w:cs="宋体"/>
      <w:sz w:val="28"/>
      <w:szCs w:val="28"/>
      <w:lang w:val="zh-TW" w:eastAsia="zh-TW" w:bidi="zh-TW"/>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false"/>
        </a:gradFill>
        <a:gradFill>
          <a:gsLst>
            <a:gs pos="0">
              <a:schemeClr val="phClr">
                <a:hueOff val="-2520000"/>
              </a:schemeClr>
            </a:gs>
            <a:gs pos="100000">
              <a:schemeClr val="phClr"/>
            </a:gs>
          </a:gsLst>
          <a:lin ang="2700000" scaled="false"/>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true"/>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85</TotalTime>
  <ScaleCrop>false</ScaleCrop>
  <LinksUpToDate>false</LinksUpToDate>
  <CharactersWithSpaces>0</CharactersWithSpaces>
  <Application>WPS Office_11.8.2.10458_F1E327BC-269C-435d-A152-05C5408002CA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2023-11-03T17:41:00Z</dcterms:created>
  <dc:creator>lulu</dc:creator>
  <cp:lastModifiedBy>戴钦敏</cp:lastModifiedBy>
  <dcterms:modified xsi:type="dcterms:W3CDTF">2023-12-26T16:20:44Z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2052-11.8.2.10458</vt:lpwstr>
  </property>
  <property fmtid="{D5CDD505-2E9C-101B-9397-08002B2CF9AE}" pid="3" name="ICV">
    <vt:lpwstr>DA247A301752496188FA4BC1CAFC0020_13</vt:lpwstr>
  </property>
</Properties>
</file>