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after="100" w:afterAutospacing="1"/>
        <w:jc w:val="left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附件1：</w:t>
      </w:r>
    </w:p>
    <w:p>
      <w:pPr>
        <w:widowControl/>
        <w:wordWrap w:val="0"/>
        <w:spacing w:after="100" w:afterAutospacing="1"/>
        <w:ind w:firstLine="645"/>
        <w:jc w:val="center"/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专家组成员资格条件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eastAsia="zh-CN"/>
        </w:rPr>
        <w:t>一、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政治立场坚定，热心应急管理与安全生产事业，具有良好职业道德；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eastAsia="zh-CN"/>
        </w:rPr>
        <w:t>二、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熟悉应急管理与安全生产相关的法律、法规、规章、政策和技术标准，具有较高的政策理论水平和专业技术水平，在应急管理与安全生产领域享有一定声誉，愿意承担且能够胜任专家工作；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eastAsia="zh-CN"/>
        </w:rPr>
        <w:t>三、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学历、工作、技能经历需符合以下任一条件：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　　1.大专学历，从事应急管理、安全生产相关工作满12年；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　　2.本科学历，从事应急管理、安全生产相关工作满10年；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　　3.硕士学历，从事应急管理、安全生产相关工作满8年；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　　4.博士学历，从事应急管理、安全生产相关工作满5年；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　　5.属于在应急管理与安全生产相关专业领域具有特殊技能（如水下救援、空中救援等）的实用型人才的，经提供相关证明材料，可不受上述学历、工作限制。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　　满足上述任一条件，且具备注册安全工程师、安全评价师、消防工程师证书并在获得证书后从事相关工作满3年的，优先考虑。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eastAsia="zh-CN"/>
        </w:rPr>
        <w:t>四、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能深入现场开展相关业务工作，有较强现场发现、分析和解决事故隐患、决策咨询的能力，有较强参与事故调查分析、安全生产相关检查、审查等能力；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eastAsia="zh-CN"/>
        </w:rPr>
        <w:t>五、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身体健康，年龄不超过65周岁（两院院士、特邀专家除外）；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ind w:left="-226" w:right="-226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　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eastAsia="zh-CN"/>
        </w:rPr>
        <w:t>六、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未被相关部门列为失信联合惩戒对象。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27259"/>
    <w:rsid w:val="0E427259"/>
    <w:rsid w:val="26993219"/>
    <w:rsid w:val="2DA421F8"/>
    <w:rsid w:val="FC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2020-06-10T09:13:00Z</dcterms:created>
  <dc:creator>胡慧南</dc:creator>
  <cp:lastModifiedBy>zkl</cp:lastModifiedBy>
  <dcterms:modified xsi:type="dcterms:W3CDTF">2023-10-19T15:00:29Z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