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line="560" w:lineRule="exact"/>
        <w:ind w:left="0" w:leftChars="0" w:firstLine="0" w:firstLineChars="0"/>
        <w:rPr>
          <w:rFonts w:ascii="黑体" w:hAnsi="黑体" w:eastAsia="黑体" w:cs="黑体"/>
          <w:spacing w:val="0"/>
          <w:kern w:val="0"/>
        </w:rPr>
      </w:pPr>
      <w:r>
        <w:rPr>
          <w:rFonts w:hint="eastAsia" w:ascii="黑体" w:hAnsi="黑体" w:eastAsia="黑体" w:cs="黑体"/>
          <w:spacing w:val="0"/>
          <w:kern w:val="0"/>
        </w:rPr>
        <w:t>附件</w:t>
      </w:r>
      <w:r>
        <w:rPr>
          <w:rFonts w:ascii="黑体" w:hAnsi="黑体" w:eastAsia="黑体" w:cs="黑体"/>
          <w:spacing w:val="0"/>
          <w:kern w:val="0"/>
        </w:rPr>
        <w:t>5</w:t>
      </w:r>
    </w:p>
    <w:p>
      <w:pPr>
        <w:tabs>
          <w:tab w:val="left" w:pos="7644"/>
        </w:tabs>
        <w:adjustRightInd w:val="0"/>
        <w:snapToGrid w:val="0"/>
        <w:spacing w:before="120" w:beforeLines="50" w:after="120" w:afterLines="50" w:line="560" w:lineRule="exact"/>
        <w:jc w:val="center"/>
        <w:rPr>
          <w:rFonts w:ascii="方正小标宋简体" w:eastAsia="方正小标宋简体" w:cs="方正小标宋简体"/>
          <w:spacing w:val="0"/>
          <w:kern w:val="0"/>
          <w:sz w:val="44"/>
          <w:szCs w:val="44"/>
        </w:rPr>
      </w:pPr>
      <w:r>
        <w:rPr>
          <w:rFonts w:ascii="方正小标宋简体" w:eastAsia="方正小标宋简体" w:cs="方正小标宋简体"/>
          <w:spacing w:val="0"/>
          <w:kern w:val="0"/>
          <w:sz w:val="44"/>
          <w:szCs w:val="44"/>
        </w:rPr>
        <w:t>深圳市老年人居家适老化改造项目建议清单</w:t>
      </w:r>
    </w:p>
    <w:tbl>
      <w:tblPr>
        <w:tblStyle w:val="8"/>
        <w:tblW w:w="5452"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830"/>
        <w:gridCol w:w="457"/>
        <w:gridCol w:w="1439"/>
        <w:gridCol w:w="5825"/>
        <w:gridCol w:w="132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noWrap w:val="0"/>
            <w:vAlign w:val="center"/>
          </w:tcPr>
          <w:p>
            <w:pPr>
              <w:widowControl/>
              <w:jc w:val="center"/>
              <w:rPr>
                <w:rFonts w:ascii="黑体" w:hAnsi="黑体" w:eastAsia="黑体" w:cs="黑体"/>
                <w:spacing w:val="-6"/>
                <w:kern w:val="0"/>
                <w:sz w:val="24"/>
                <w:szCs w:val="24"/>
              </w:rPr>
            </w:pPr>
            <w:r>
              <w:rPr>
                <w:rFonts w:ascii="黑体" w:hAnsi="黑体" w:eastAsia="黑体" w:cs="黑体"/>
                <w:spacing w:val="-6"/>
                <w:kern w:val="0"/>
                <w:sz w:val="24"/>
                <w:szCs w:val="24"/>
              </w:rPr>
              <w:t>类别</w:t>
            </w:r>
          </w:p>
        </w:tc>
        <w:tc>
          <w:tcPr>
            <w:tcW w:w="231" w:type="pct"/>
            <w:noWrap w:val="0"/>
            <w:vAlign w:val="center"/>
          </w:tcPr>
          <w:p>
            <w:pPr>
              <w:widowControl/>
              <w:jc w:val="center"/>
              <w:rPr>
                <w:rFonts w:ascii="黑体" w:hAnsi="黑体" w:eastAsia="黑体"/>
                <w:spacing w:val="-6"/>
                <w:kern w:val="0"/>
                <w:sz w:val="24"/>
                <w:szCs w:val="24"/>
              </w:rPr>
            </w:pPr>
            <w:r>
              <w:rPr>
                <w:rFonts w:ascii="黑体" w:hAnsi="黑体" w:eastAsia="黑体"/>
                <w:spacing w:val="-6"/>
                <w:kern w:val="0"/>
                <w:sz w:val="24"/>
                <w:szCs w:val="24"/>
              </w:rPr>
              <w:t>序号</w:t>
            </w:r>
          </w:p>
        </w:tc>
        <w:tc>
          <w:tcPr>
            <w:tcW w:w="728" w:type="pct"/>
            <w:noWrap w:val="0"/>
            <w:vAlign w:val="center"/>
          </w:tcPr>
          <w:p>
            <w:pPr>
              <w:widowControl/>
              <w:jc w:val="center"/>
              <w:rPr>
                <w:rFonts w:ascii="黑体" w:hAnsi="黑体" w:eastAsia="黑体"/>
                <w:spacing w:val="-6"/>
                <w:kern w:val="0"/>
                <w:sz w:val="24"/>
                <w:szCs w:val="24"/>
              </w:rPr>
            </w:pPr>
            <w:r>
              <w:rPr>
                <w:rFonts w:ascii="黑体" w:hAnsi="黑体" w:eastAsia="黑体"/>
                <w:spacing w:val="-6"/>
                <w:kern w:val="0"/>
                <w:sz w:val="24"/>
                <w:szCs w:val="24"/>
              </w:rPr>
              <w:t>内容</w:t>
            </w:r>
          </w:p>
        </w:tc>
        <w:tc>
          <w:tcPr>
            <w:tcW w:w="2947" w:type="pct"/>
            <w:noWrap w:val="0"/>
            <w:vAlign w:val="center"/>
          </w:tcPr>
          <w:p>
            <w:pPr>
              <w:widowControl/>
              <w:jc w:val="center"/>
              <w:rPr>
                <w:rFonts w:ascii="黑体" w:hAnsi="黑体" w:eastAsia="黑体"/>
                <w:spacing w:val="-6"/>
                <w:kern w:val="0"/>
                <w:sz w:val="24"/>
                <w:szCs w:val="24"/>
              </w:rPr>
            </w:pPr>
            <w:r>
              <w:rPr>
                <w:rFonts w:ascii="黑体" w:hAnsi="黑体" w:eastAsia="黑体"/>
                <w:spacing w:val="-6"/>
                <w:kern w:val="0"/>
                <w:sz w:val="24"/>
                <w:szCs w:val="24"/>
              </w:rPr>
              <w:t>作用说明</w:t>
            </w:r>
          </w:p>
        </w:tc>
        <w:tc>
          <w:tcPr>
            <w:tcW w:w="672" w:type="pct"/>
            <w:noWrap w:val="0"/>
            <w:vAlign w:val="center"/>
          </w:tcPr>
          <w:p>
            <w:pPr>
              <w:widowControl/>
              <w:jc w:val="center"/>
              <w:rPr>
                <w:rFonts w:ascii="黑体" w:hAnsi="黑体" w:eastAsia="黑体"/>
                <w:spacing w:val="-6"/>
                <w:kern w:val="0"/>
                <w:sz w:val="24"/>
                <w:szCs w:val="24"/>
              </w:rPr>
            </w:pPr>
            <w:r>
              <w:rPr>
                <w:rFonts w:ascii="黑体" w:hAnsi="黑体" w:eastAsia="黑体"/>
                <w:spacing w:val="-6"/>
                <w:kern w:val="0"/>
                <w:sz w:val="24"/>
                <w:szCs w:val="24"/>
              </w:rPr>
              <w:t>基础/可选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42" w:hRule="atLeast"/>
          <w:jc w:val="center"/>
        </w:trPr>
        <w:tc>
          <w:tcPr>
            <w:tcW w:w="420" w:type="pct"/>
            <w:noWrap w:val="0"/>
            <w:vAlign w:val="center"/>
          </w:tcPr>
          <w:p>
            <w:pPr>
              <w:widowControl/>
              <w:jc w:val="center"/>
              <w:rPr>
                <w:rFonts w:ascii="黑体" w:hAnsi="黑体" w:eastAsia="黑体" w:cs="黑体"/>
                <w:spacing w:val="-6"/>
                <w:kern w:val="0"/>
                <w:sz w:val="24"/>
                <w:szCs w:val="24"/>
              </w:rPr>
            </w:pPr>
            <w:r>
              <w:rPr>
                <w:rFonts w:ascii="黑体" w:hAnsi="黑体" w:eastAsia="黑体" w:cs="黑体"/>
                <w:spacing w:val="-6"/>
                <w:kern w:val="0"/>
                <w:sz w:val="24"/>
                <w:szCs w:val="24"/>
              </w:rPr>
              <w:t>身体能力评估</w:t>
            </w: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老年人身体能力评估</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第二类资助对象中以“年满60-69周岁经全市统一的老年人能力等级评估为中度以上失能的老年人”，需开展身体能力评估，其他类别申请人无需参加评估。</w:t>
            </w:r>
          </w:p>
          <w:p>
            <w:pPr>
              <w:adjustRightInd w:val="0"/>
              <w:snapToGrid w:val="0"/>
              <w:jc w:val="left"/>
              <w:rPr>
                <w:rFonts w:ascii="仿宋_GB2312"/>
                <w:spacing w:val="-6"/>
                <w:kern w:val="0"/>
                <w:sz w:val="24"/>
                <w:szCs w:val="24"/>
              </w:rPr>
            </w:pPr>
            <w:r>
              <w:rPr>
                <w:rFonts w:ascii="仿宋_GB2312"/>
                <w:spacing w:val="-6"/>
                <w:kern w:val="0"/>
                <w:sz w:val="24"/>
                <w:szCs w:val="24"/>
              </w:rPr>
              <w:t>老年人失能等级需由深圳市老年人能力评估定点医疗机构进行评估认定，机构名单可登录深圳市民政局门户网站查询。经评估为中度以上失能且符合其他资助条件、被确定为资助对象的老年人，其能力评估费用列入适老化改造资助范围；经评估为轻度失能及以下，或因其他原因不符合资助条件的老年人，其能力评估费用由老年人自行承担。</w:t>
            </w:r>
          </w:p>
        </w:tc>
        <w:tc>
          <w:tcPr>
            <w:tcW w:w="672" w:type="pct"/>
            <w:noWrap w:val="0"/>
            <w:vAlign w:val="center"/>
          </w:tcPr>
          <w:p>
            <w:pPr>
              <w:adjustRightInd w:val="0"/>
              <w:snapToGrid w:val="0"/>
              <w:jc w:val="center"/>
              <w:rPr>
                <w:rFonts w:ascii="仿宋_GB2312"/>
                <w:color w:val="000000"/>
                <w:spacing w:val="-6"/>
                <w:kern w:val="0"/>
                <w:sz w:val="24"/>
                <w:szCs w:val="24"/>
              </w:rPr>
            </w:pPr>
            <w:r>
              <w:rPr>
                <w:rFonts w:ascii="仿宋_GB2312"/>
                <w:b/>
                <w:bCs/>
                <w:color w:val="000000"/>
                <w:spacing w:val="-6"/>
                <w:kern w:val="0"/>
                <w:sz w:val="24"/>
                <w:szCs w:val="24"/>
              </w:rPr>
              <w:t>基础/</w:t>
            </w:r>
            <w:r>
              <w:rPr>
                <w:rFonts w:ascii="仿宋_GB2312"/>
                <w:color w:val="000000"/>
                <w:spacing w:val="-6"/>
                <w:kern w:val="0"/>
                <w:sz w:val="24"/>
                <w:szCs w:val="24"/>
              </w:rPr>
              <w:t>可选</w:t>
            </w:r>
          </w:p>
          <w:p>
            <w:pPr>
              <w:adjustRightInd w:val="0"/>
              <w:snapToGrid w:val="0"/>
              <w:jc w:val="center"/>
              <w:rPr>
                <w:rFonts w:ascii="仿宋_GB2312"/>
                <w:b/>
                <w:bCs/>
                <w:color w:val="000000"/>
                <w:spacing w:val="-6"/>
                <w:kern w:val="0"/>
                <w:sz w:val="24"/>
                <w:szCs w:val="24"/>
              </w:rPr>
            </w:pPr>
            <w:r>
              <w:rPr>
                <w:rFonts w:ascii="仿宋_GB2312"/>
                <w:color w:val="000000"/>
                <w:spacing w:val="-6"/>
                <w:kern w:val="0"/>
                <w:sz w:val="24"/>
                <w:szCs w:val="24"/>
              </w:rPr>
              <w:t>（因医疗机构定价差异，约为200-300元）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18" w:hRule="atLeast"/>
          <w:jc w:val="center"/>
        </w:trPr>
        <w:tc>
          <w:tcPr>
            <w:tcW w:w="420" w:type="pct"/>
            <w:vMerge w:val="restart"/>
            <w:noWrap w:val="0"/>
            <w:vAlign w:val="center"/>
          </w:tcPr>
          <w:p>
            <w:pPr>
              <w:adjustRightInd w:val="0"/>
              <w:snapToGrid w:val="0"/>
              <w:jc w:val="center"/>
              <w:rPr>
                <w:rFonts w:ascii="黑体" w:hAnsi="黑体" w:eastAsia="黑体" w:cs="黑体"/>
                <w:spacing w:val="-6"/>
                <w:kern w:val="0"/>
                <w:sz w:val="24"/>
                <w:szCs w:val="24"/>
              </w:rPr>
            </w:pPr>
            <w:r>
              <w:rPr>
                <w:rFonts w:ascii="黑体" w:hAnsi="黑体" w:eastAsia="黑体" w:cs="黑体"/>
                <w:spacing w:val="-6"/>
                <w:kern w:val="0"/>
                <w:sz w:val="24"/>
                <w:szCs w:val="24"/>
              </w:rPr>
              <w:t>室内行走便利</w:t>
            </w: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防滑处理</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在卫生间、厨房等区域，铺设PVC等材质的防滑地砖（地板、地胶），避免滑倒并具有一定的防潮作用。卫生间局部可使用防滑垫。</w:t>
            </w:r>
          </w:p>
        </w:tc>
        <w:tc>
          <w:tcPr>
            <w:tcW w:w="672" w:type="pct"/>
            <w:noWrap w:val="0"/>
            <w:vAlign w:val="center"/>
          </w:tcPr>
          <w:p>
            <w:pPr>
              <w:adjustRightInd w:val="0"/>
              <w:snapToGrid w:val="0"/>
              <w:jc w:val="center"/>
              <w:rPr>
                <w:rFonts w:ascii="仿宋_GB2312"/>
                <w:b/>
                <w:bCs/>
                <w:spacing w:val="-6"/>
                <w:kern w:val="0"/>
                <w:sz w:val="24"/>
                <w:szCs w:val="24"/>
              </w:rPr>
            </w:pPr>
            <w:r>
              <w:rPr>
                <w:rFonts w:ascii="仿宋_GB2312"/>
                <w:b/>
                <w:bCs/>
                <w:spacing w:val="-6"/>
                <w:kern w:val="0"/>
                <w:sz w:val="24"/>
                <w:szCs w:val="24"/>
              </w:rPr>
              <w:t>基础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45"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地面高差</w:t>
            </w:r>
          </w:p>
          <w:p>
            <w:pPr>
              <w:adjustRightInd w:val="0"/>
              <w:snapToGrid w:val="0"/>
              <w:jc w:val="center"/>
              <w:rPr>
                <w:rFonts w:ascii="仿宋_GB2312"/>
                <w:spacing w:val="-6"/>
                <w:kern w:val="0"/>
                <w:sz w:val="24"/>
                <w:szCs w:val="24"/>
              </w:rPr>
            </w:pPr>
            <w:r>
              <w:rPr>
                <w:rFonts w:ascii="仿宋_GB2312"/>
                <w:spacing w:val="-6"/>
                <w:kern w:val="0"/>
                <w:sz w:val="24"/>
                <w:szCs w:val="24"/>
              </w:rPr>
              <w:t>处理</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台阶改坡道，铺设水泥坡道，保证路面平滑、无高差障碍，避免老年人行走发生磕碰跌倒，方便轮椅进出。门槛高度较低或不宜铺设水泥坡道情况下，可加设橡胶等材质的可移动式坡道。</w:t>
            </w:r>
          </w:p>
        </w:tc>
        <w:tc>
          <w:tcPr>
            <w:tcW w:w="672" w:type="pct"/>
            <w:noWrap w:val="0"/>
            <w:vAlign w:val="center"/>
          </w:tcPr>
          <w:p>
            <w:pPr>
              <w:adjustRightInd w:val="0"/>
              <w:snapToGrid w:val="0"/>
              <w:jc w:val="center"/>
              <w:rPr>
                <w:rFonts w:ascii="仿宋_GB2312"/>
                <w:b/>
                <w:bCs/>
                <w:spacing w:val="-6"/>
                <w:kern w:val="0"/>
                <w:sz w:val="24"/>
                <w:szCs w:val="24"/>
              </w:rPr>
            </w:pPr>
            <w:r>
              <w:rPr>
                <w:rFonts w:ascii="仿宋_GB2312"/>
                <w:b/>
                <w:bCs/>
                <w:spacing w:val="-6"/>
                <w:kern w:val="0"/>
                <w:sz w:val="24"/>
                <w:szCs w:val="24"/>
              </w:rPr>
              <w:t>基础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平整硬化</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屋内（外）地面水泥平整硬化，方便轮椅进出。</w:t>
            </w:r>
          </w:p>
        </w:tc>
        <w:tc>
          <w:tcPr>
            <w:tcW w:w="672"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可选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门槛移除</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移除门槛，保证老年人进出无磕碰跌倒风险，方便轮椅进出。</w:t>
            </w:r>
          </w:p>
        </w:tc>
        <w:tc>
          <w:tcPr>
            <w:tcW w:w="672" w:type="pct"/>
            <w:noWrap w:val="0"/>
            <w:vAlign w:val="center"/>
          </w:tcPr>
          <w:p>
            <w:pPr>
              <w:adjustRightInd w:val="0"/>
              <w:snapToGrid w:val="0"/>
              <w:jc w:val="center"/>
              <w:rPr>
                <w:rFonts w:ascii="仿宋_GB2312"/>
                <w:b/>
                <w:bCs/>
                <w:spacing w:val="-6"/>
                <w:kern w:val="0"/>
                <w:sz w:val="24"/>
                <w:szCs w:val="24"/>
              </w:rPr>
            </w:pPr>
            <w:r>
              <w:rPr>
                <w:rFonts w:ascii="仿宋_GB2312"/>
                <w:b/>
                <w:bCs/>
                <w:spacing w:val="-6"/>
                <w:kern w:val="0"/>
                <w:sz w:val="24"/>
                <w:szCs w:val="24"/>
              </w:rPr>
              <w:t>基础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房门拓宽</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在不影响房屋主体结构的前提下，对卫生间、厨房等空间较窄的门洞进行拓宽，改善通过性，方便轮椅进出。</w:t>
            </w:r>
          </w:p>
        </w:tc>
        <w:tc>
          <w:tcPr>
            <w:tcW w:w="672" w:type="pct"/>
            <w:noWrap w:val="0"/>
            <w:vAlign w:val="center"/>
          </w:tcPr>
          <w:p>
            <w:pPr>
              <w:adjustRightInd w:val="0"/>
              <w:snapToGrid w:val="0"/>
              <w:jc w:val="center"/>
              <w:rPr>
                <w:rFonts w:ascii="仿宋_GB2312"/>
                <w:bCs/>
                <w:spacing w:val="-6"/>
                <w:kern w:val="0"/>
                <w:sz w:val="24"/>
                <w:szCs w:val="24"/>
              </w:rPr>
            </w:pPr>
            <w:r>
              <w:rPr>
                <w:rFonts w:ascii="仿宋_GB2312"/>
                <w:bCs/>
                <w:spacing w:val="-6"/>
                <w:kern w:val="0"/>
                <w:sz w:val="24"/>
                <w:szCs w:val="24"/>
              </w:rPr>
              <w:t>可选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平开门改推拉门</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方便开启，增加通行宽度和辅助操作空间。</w:t>
            </w:r>
          </w:p>
        </w:tc>
        <w:tc>
          <w:tcPr>
            <w:tcW w:w="672" w:type="pct"/>
            <w:noWrap w:val="0"/>
            <w:vAlign w:val="center"/>
          </w:tcPr>
          <w:p>
            <w:pPr>
              <w:adjustRightInd w:val="0"/>
              <w:snapToGrid w:val="0"/>
              <w:jc w:val="center"/>
              <w:rPr>
                <w:rFonts w:ascii="仿宋_GB2312"/>
                <w:bCs/>
                <w:spacing w:val="-6"/>
                <w:kern w:val="0"/>
                <w:sz w:val="24"/>
                <w:szCs w:val="24"/>
              </w:rPr>
            </w:pPr>
            <w:r>
              <w:rPr>
                <w:rFonts w:ascii="仿宋_GB2312"/>
                <w:bCs/>
                <w:spacing w:val="-6"/>
                <w:kern w:val="0"/>
                <w:sz w:val="24"/>
                <w:szCs w:val="24"/>
              </w:rPr>
              <w:t>可选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下压式门把手改造</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可用单手手掌或手指轻松操作，增加摩擦力和稳定性，方便乘轮椅老年人或者手部力量较弱的老年人开门。</w:t>
            </w:r>
          </w:p>
        </w:tc>
        <w:tc>
          <w:tcPr>
            <w:tcW w:w="672"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可选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安装防撞护角/防撞条</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在家具尖角或墙角处安装防撞护角或防撞条，防止老年人磕碰划伤。</w:t>
            </w:r>
          </w:p>
        </w:tc>
        <w:tc>
          <w:tcPr>
            <w:tcW w:w="672" w:type="pct"/>
            <w:noWrap w:val="0"/>
            <w:vAlign w:val="center"/>
          </w:tcPr>
          <w:p>
            <w:pPr>
              <w:adjustRightInd w:val="0"/>
              <w:snapToGrid w:val="0"/>
              <w:jc w:val="center"/>
              <w:rPr>
                <w:rFonts w:ascii="仿宋_GB2312"/>
                <w:b/>
                <w:spacing w:val="-6"/>
                <w:kern w:val="0"/>
                <w:sz w:val="24"/>
                <w:szCs w:val="24"/>
              </w:rPr>
            </w:pPr>
            <w:r>
              <w:rPr>
                <w:rFonts w:ascii="仿宋_GB2312"/>
                <w:b/>
                <w:spacing w:val="-6"/>
                <w:kern w:val="0"/>
                <w:sz w:val="24"/>
                <w:szCs w:val="24"/>
              </w:rPr>
              <w:t>基础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安装提示</w:t>
            </w:r>
          </w:p>
          <w:p>
            <w:pPr>
              <w:adjustRightInd w:val="0"/>
              <w:snapToGrid w:val="0"/>
              <w:jc w:val="center"/>
              <w:rPr>
                <w:rFonts w:ascii="仿宋_GB2312"/>
                <w:spacing w:val="-6"/>
                <w:kern w:val="0"/>
                <w:sz w:val="24"/>
                <w:szCs w:val="24"/>
              </w:rPr>
            </w:pPr>
            <w:r>
              <w:rPr>
                <w:rFonts w:ascii="仿宋_GB2312"/>
                <w:spacing w:val="-6"/>
                <w:kern w:val="0"/>
                <w:sz w:val="24"/>
                <w:szCs w:val="24"/>
              </w:rPr>
              <w:t>标识</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黏贴防滑条、警示条等符合相关标准和老年人认知特点的提示标识。</w:t>
            </w:r>
          </w:p>
        </w:tc>
        <w:tc>
          <w:tcPr>
            <w:tcW w:w="672"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可选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8" w:hRule="atLeast"/>
          <w:jc w:val="center"/>
        </w:trPr>
        <w:tc>
          <w:tcPr>
            <w:tcW w:w="420" w:type="pct"/>
            <w:vMerge w:val="restart"/>
            <w:noWrap w:val="0"/>
            <w:vAlign w:val="center"/>
          </w:tcPr>
          <w:p>
            <w:pPr>
              <w:adjustRightInd w:val="0"/>
              <w:snapToGrid w:val="0"/>
              <w:jc w:val="center"/>
              <w:rPr>
                <w:rFonts w:ascii="黑体" w:hAnsi="黑体" w:eastAsia="黑体" w:cs="黑体"/>
                <w:spacing w:val="-6"/>
                <w:kern w:val="0"/>
                <w:sz w:val="24"/>
                <w:szCs w:val="24"/>
              </w:rPr>
            </w:pPr>
            <w:r>
              <w:rPr>
                <w:rFonts w:ascii="黑体" w:hAnsi="黑体" w:eastAsia="黑体" w:cs="黑体"/>
                <w:spacing w:val="-6"/>
                <w:kern w:val="0"/>
                <w:sz w:val="24"/>
                <w:szCs w:val="24"/>
              </w:rPr>
              <w:t>如厕洗澡安全</w:t>
            </w: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蹲便器改坐便器</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减轻蹲姿造成的腿部压力，减轻老年人如厕下蹲、站立困难。方便乘轮椅老年人使用。根据实际情况，可增加给排水路改造、地台拆除项目。</w:t>
            </w:r>
          </w:p>
        </w:tc>
        <w:tc>
          <w:tcPr>
            <w:tcW w:w="672" w:type="pct"/>
            <w:noWrap w:val="0"/>
            <w:vAlign w:val="center"/>
          </w:tcPr>
          <w:p>
            <w:pPr>
              <w:adjustRightInd w:val="0"/>
              <w:snapToGrid w:val="0"/>
              <w:jc w:val="center"/>
              <w:rPr>
                <w:rFonts w:ascii="仿宋_GB2312"/>
                <w:spacing w:val="-6"/>
                <w:kern w:val="0"/>
                <w:sz w:val="24"/>
                <w:szCs w:val="24"/>
              </w:rPr>
            </w:pPr>
            <w:r>
              <w:rPr>
                <w:rFonts w:ascii="仿宋_GB2312"/>
                <w:b/>
                <w:bCs/>
                <w:spacing w:val="-6"/>
                <w:kern w:val="0"/>
                <w:sz w:val="24"/>
                <w:szCs w:val="24"/>
              </w:rPr>
              <w:t>基础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坐便椅</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坐便椅（带便桶）方便体弱或行动不方便的老年人就近如厕，一般放于卧室。</w:t>
            </w:r>
          </w:p>
        </w:tc>
        <w:tc>
          <w:tcPr>
            <w:tcW w:w="672"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可选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马桶增高器</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安装在马桶上的增高装置，带扶手，提高老年人如厕时的便利性和舒适度。</w:t>
            </w:r>
          </w:p>
        </w:tc>
        <w:tc>
          <w:tcPr>
            <w:tcW w:w="672"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可选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20"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加装扶手</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在坐（蹲）便器、淋浴区、高低差变化处安装扶手，辅助老年人起身、站立、转身、坐（蹲）下和通过。包括一字型扶手、U型扶手、L形扶手、135°扶手、T形扶手或者助力扶手等。</w:t>
            </w:r>
          </w:p>
        </w:tc>
        <w:tc>
          <w:tcPr>
            <w:tcW w:w="672" w:type="pct"/>
            <w:noWrap w:val="0"/>
            <w:vAlign w:val="center"/>
          </w:tcPr>
          <w:p>
            <w:pPr>
              <w:adjustRightInd w:val="0"/>
              <w:snapToGrid w:val="0"/>
              <w:jc w:val="center"/>
              <w:rPr>
                <w:rFonts w:ascii="仿宋_GB2312"/>
                <w:b/>
                <w:bCs/>
                <w:spacing w:val="-6"/>
                <w:kern w:val="0"/>
                <w:sz w:val="24"/>
                <w:szCs w:val="24"/>
              </w:rPr>
            </w:pPr>
            <w:r>
              <w:rPr>
                <w:rFonts w:ascii="仿宋_GB2312"/>
                <w:b/>
                <w:bCs/>
                <w:spacing w:val="-6"/>
                <w:kern w:val="0"/>
                <w:sz w:val="24"/>
                <w:szCs w:val="24"/>
              </w:rPr>
              <w:t>基础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洗澡椅</w:t>
            </w:r>
          </w:p>
          <w:p>
            <w:pPr>
              <w:adjustRightInd w:val="0"/>
              <w:snapToGrid w:val="0"/>
              <w:jc w:val="center"/>
              <w:rPr>
                <w:rFonts w:ascii="仿宋_GB2312"/>
                <w:spacing w:val="-6"/>
                <w:kern w:val="0"/>
                <w:sz w:val="24"/>
                <w:szCs w:val="24"/>
              </w:rPr>
            </w:pPr>
            <w:r>
              <w:rPr>
                <w:rFonts w:ascii="仿宋_GB2312"/>
                <w:spacing w:val="-6"/>
                <w:kern w:val="0"/>
                <w:sz w:val="24"/>
                <w:szCs w:val="24"/>
              </w:rPr>
              <w:t>（浴凳）</w:t>
            </w:r>
          </w:p>
        </w:tc>
        <w:tc>
          <w:tcPr>
            <w:tcW w:w="2947" w:type="pct"/>
            <w:noWrap w:val="0"/>
            <w:vAlign w:val="center"/>
          </w:tcPr>
          <w:p>
            <w:pPr>
              <w:adjustRightInd w:val="0"/>
              <w:snapToGrid w:val="0"/>
              <w:rPr>
                <w:rFonts w:ascii="仿宋_GB2312"/>
                <w:spacing w:val="-6"/>
                <w:kern w:val="0"/>
                <w:sz w:val="24"/>
                <w:szCs w:val="24"/>
              </w:rPr>
            </w:pPr>
            <w:r>
              <w:rPr>
                <w:rFonts w:ascii="仿宋_GB2312"/>
                <w:spacing w:val="-6"/>
                <w:kern w:val="0"/>
                <w:sz w:val="24"/>
                <w:szCs w:val="24"/>
              </w:rPr>
              <w:t>辅助老年人洗澡用，避免老年人滑倒，提高安全性。居家空间较小的，可配置上翻支撑淋浴壁椅。</w:t>
            </w:r>
          </w:p>
        </w:tc>
        <w:tc>
          <w:tcPr>
            <w:tcW w:w="672" w:type="pct"/>
            <w:noWrap w:val="0"/>
            <w:vAlign w:val="center"/>
          </w:tcPr>
          <w:p>
            <w:pPr>
              <w:adjustRightInd w:val="0"/>
              <w:snapToGrid w:val="0"/>
              <w:jc w:val="center"/>
              <w:rPr>
                <w:rFonts w:ascii="仿宋_GB2312"/>
                <w:b/>
                <w:bCs/>
                <w:spacing w:val="-6"/>
                <w:kern w:val="0"/>
                <w:sz w:val="24"/>
                <w:szCs w:val="24"/>
              </w:rPr>
            </w:pPr>
            <w:r>
              <w:rPr>
                <w:rFonts w:ascii="仿宋_GB2312"/>
                <w:b/>
                <w:bCs/>
                <w:spacing w:val="-6"/>
                <w:kern w:val="0"/>
                <w:sz w:val="24"/>
                <w:szCs w:val="24"/>
              </w:rPr>
              <w:t>基础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8"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浴缸/淋浴房改造</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拆除浴缸/淋浴房，更换浴帘、浴杆，增加淋浴空间，方便照护人员辅助老年人洗浴，以及意外跌倒后的搀扶。</w:t>
            </w:r>
          </w:p>
        </w:tc>
        <w:tc>
          <w:tcPr>
            <w:tcW w:w="672" w:type="pct"/>
            <w:noWrap w:val="0"/>
            <w:vAlign w:val="center"/>
          </w:tcPr>
          <w:p>
            <w:pPr>
              <w:adjustRightInd w:val="0"/>
              <w:snapToGrid w:val="0"/>
              <w:jc w:val="center"/>
              <w:rPr>
                <w:rFonts w:ascii="仿宋_GB2312"/>
                <w:spacing w:val="-6"/>
                <w:kern w:val="0"/>
                <w:sz w:val="24"/>
                <w:szCs w:val="24"/>
              </w:rPr>
            </w:pPr>
            <w:r>
              <w:rPr>
                <w:rFonts w:ascii="仿宋_GB2312"/>
                <w:b/>
                <w:bCs/>
                <w:spacing w:val="-6"/>
                <w:kern w:val="0"/>
                <w:sz w:val="24"/>
                <w:szCs w:val="24"/>
              </w:rPr>
              <w:t>基础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95"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基本用水用电改造</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对室内老化或裸露的电气线路进行改造，配置安全插座；对室内严重锈蚀或即将损坏的水管进行改造。</w:t>
            </w:r>
          </w:p>
        </w:tc>
        <w:tc>
          <w:tcPr>
            <w:tcW w:w="672" w:type="pct"/>
            <w:noWrap w:val="0"/>
            <w:vAlign w:val="center"/>
          </w:tcPr>
          <w:p>
            <w:pPr>
              <w:adjustRightInd w:val="0"/>
              <w:snapToGrid w:val="0"/>
              <w:jc w:val="center"/>
              <w:rPr>
                <w:rFonts w:ascii="仿宋_GB2312"/>
                <w:b/>
                <w:bCs/>
                <w:spacing w:val="-6"/>
                <w:kern w:val="0"/>
                <w:sz w:val="24"/>
                <w:szCs w:val="24"/>
              </w:rPr>
            </w:pPr>
            <w:r>
              <w:rPr>
                <w:rFonts w:ascii="仿宋_GB2312"/>
                <w:b/>
                <w:bCs/>
                <w:spacing w:val="-6"/>
                <w:kern w:val="0"/>
                <w:sz w:val="24"/>
                <w:szCs w:val="24"/>
              </w:rPr>
              <w:t>分散供养特困老年人、最低生活保障对象老年人为基础，其他老年人为可选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restart"/>
            <w:noWrap w:val="0"/>
            <w:vAlign w:val="center"/>
          </w:tcPr>
          <w:p>
            <w:pPr>
              <w:adjustRightInd w:val="0"/>
              <w:snapToGrid w:val="0"/>
              <w:jc w:val="center"/>
              <w:rPr>
                <w:rFonts w:ascii="黑体" w:hAnsi="黑体" w:eastAsia="黑体" w:cs="黑体"/>
                <w:spacing w:val="-6"/>
                <w:kern w:val="0"/>
                <w:sz w:val="24"/>
                <w:szCs w:val="24"/>
              </w:rPr>
            </w:pPr>
            <w:r>
              <w:rPr>
                <w:rFonts w:ascii="黑体" w:hAnsi="黑体" w:eastAsia="黑体" w:cs="黑体"/>
                <w:spacing w:val="-6"/>
                <w:kern w:val="0"/>
                <w:sz w:val="24"/>
                <w:szCs w:val="24"/>
              </w:rPr>
              <w:t>厨房操作方便</w:t>
            </w: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台面改造</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降低灶具、洗菜池、面盆等台面高度，或采用升降台面，方便乘轮椅老年人或身高较矮的老年人操作。下方留出空间，方便乘轮椅老年人靠近。</w:t>
            </w:r>
          </w:p>
        </w:tc>
        <w:tc>
          <w:tcPr>
            <w:tcW w:w="672"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可选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加设中部柜</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在吊柜下方设置开敞式中部柜、中部架，方便老年人取放物品。</w:t>
            </w:r>
          </w:p>
        </w:tc>
        <w:tc>
          <w:tcPr>
            <w:tcW w:w="672"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可选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水龙头改造</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改装拔杆式或感应水龙头，方便乘轮椅老年人或者手部力量较弱的老年人开关水阀，避免忘关水阀。</w:t>
            </w:r>
          </w:p>
        </w:tc>
        <w:tc>
          <w:tcPr>
            <w:tcW w:w="672"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可选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23" w:hRule="atLeast"/>
          <w:jc w:val="center"/>
        </w:trPr>
        <w:tc>
          <w:tcPr>
            <w:tcW w:w="420" w:type="pct"/>
            <w:vMerge w:val="restart"/>
            <w:noWrap w:val="0"/>
            <w:vAlign w:val="center"/>
          </w:tcPr>
          <w:p>
            <w:pPr>
              <w:adjustRightInd w:val="0"/>
              <w:snapToGrid w:val="0"/>
              <w:jc w:val="center"/>
              <w:rPr>
                <w:rFonts w:ascii="黑体" w:hAnsi="黑体" w:eastAsia="黑体" w:cs="黑体"/>
                <w:spacing w:val="-6"/>
                <w:kern w:val="0"/>
                <w:sz w:val="24"/>
                <w:szCs w:val="24"/>
              </w:rPr>
            </w:pPr>
            <w:r>
              <w:rPr>
                <w:rFonts w:ascii="黑体" w:hAnsi="黑体" w:eastAsia="黑体" w:cs="黑体"/>
                <w:spacing w:val="-6"/>
                <w:kern w:val="0"/>
                <w:sz w:val="24"/>
                <w:szCs w:val="24"/>
              </w:rPr>
              <w:t>居家环境改善</w:t>
            </w: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电源插座及开关改造</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视情况进行高/低位改造，避免老年人下蹲或弯腰，方便老年人插拔电源和使用开关。更换老旧以及不灵敏开关，必要时增加双控电开关。</w:t>
            </w:r>
          </w:p>
        </w:tc>
        <w:tc>
          <w:tcPr>
            <w:tcW w:w="672"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可选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床边扶手</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在老年人床边安装护栏、抓杆或可升降式扶手，辅助老年人起身、上下床，避免翻身意外跌落，保障老年人睡眠和活动安全。</w:t>
            </w:r>
          </w:p>
        </w:tc>
        <w:tc>
          <w:tcPr>
            <w:tcW w:w="672" w:type="pct"/>
            <w:noWrap w:val="0"/>
            <w:vAlign w:val="center"/>
          </w:tcPr>
          <w:p>
            <w:pPr>
              <w:adjustRightInd w:val="0"/>
              <w:snapToGrid w:val="0"/>
              <w:jc w:val="center"/>
              <w:rPr>
                <w:rFonts w:ascii="仿宋_GB2312"/>
                <w:b/>
                <w:spacing w:val="-6"/>
                <w:kern w:val="0"/>
                <w:sz w:val="24"/>
                <w:szCs w:val="24"/>
              </w:rPr>
            </w:pPr>
            <w:r>
              <w:rPr>
                <w:rFonts w:ascii="仿宋_GB2312"/>
                <w:b/>
                <w:spacing w:val="-6"/>
                <w:kern w:val="0"/>
                <w:sz w:val="24"/>
                <w:szCs w:val="24"/>
              </w:rPr>
              <w:t>基础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适老家具</w:t>
            </w:r>
          </w:p>
          <w:p>
            <w:pPr>
              <w:adjustRightInd w:val="0"/>
              <w:snapToGrid w:val="0"/>
              <w:jc w:val="center"/>
              <w:rPr>
                <w:rFonts w:ascii="仿宋_GB2312"/>
                <w:spacing w:val="-6"/>
                <w:kern w:val="0"/>
                <w:sz w:val="24"/>
                <w:szCs w:val="24"/>
              </w:rPr>
            </w:pPr>
            <w:r>
              <w:rPr>
                <w:rFonts w:ascii="仿宋_GB2312"/>
                <w:spacing w:val="-6"/>
                <w:kern w:val="0"/>
                <w:sz w:val="24"/>
                <w:szCs w:val="24"/>
              </w:rPr>
              <w:t>配置</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如换鞋凳（1个）、适老椅（不超过家庭老年人数）、电动升降晾衣架等。</w:t>
            </w:r>
          </w:p>
        </w:tc>
        <w:tc>
          <w:tcPr>
            <w:tcW w:w="672"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可选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更换或新增灯具</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更改或新增节能型灯具，避免直射光源、强刺激性光源，确保光线柔和，改善照明环境。</w:t>
            </w:r>
          </w:p>
        </w:tc>
        <w:tc>
          <w:tcPr>
            <w:tcW w:w="672" w:type="pct"/>
            <w:noWrap w:val="0"/>
            <w:vAlign w:val="center"/>
          </w:tcPr>
          <w:p>
            <w:pPr>
              <w:adjustRightInd w:val="0"/>
              <w:snapToGrid w:val="0"/>
              <w:jc w:val="center"/>
              <w:rPr>
                <w:rFonts w:ascii="仿宋_GB2312"/>
                <w:bCs/>
                <w:spacing w:val="-6"/>
                <w:kern w:val="0"/>
                <w:sz w:val="24"/>
                <w:szCs w:val="24"/>
              </w:rPr>
            </w:pPr>
            <w:r>
              <w:rPr>
                <w:rFonts w:ascii="仿宋_GB2312"/>
                <w:bCs/>
                <w:spacing w:val="-6"/>
                <w:kern w:val="0"/>
                <w:sz w:val="24"/>
                <w:szCs w:val="24"/>
              </w:rPr>
              <w:t>可选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安装感应夜灯（地灯）</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在卧室、走廊灯区域安装感应便携灯，人走灯灭，辅助老年人起夜使用。</w:t>
            </w:r>
          </w:p>
        </w:tc>
        <w:tc>
          <w:tcPr>
            <w:tcW w:w="672"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可选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安装闪光震动门铃</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供听力视力障碍老年人使用。</w:t>
            </w:r>
          </w:p>
        </w:tc>
        <w:tc>
          <w:tcPr>
            <w:tcW w:w="672"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可选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restart"/>
            <w:noWrap w:val="0"/>
            <w:vAlign w:val="center"/>
          </w:tcPr>
          <w:p>
            <w:pPr>
              <w:adjustRightInd w:val="0"/>
              <w:snapToGrid w:val="0"/>
              <w:jc w:val="center"/>
              <w:rPr>
                <w:rFonts w:ascii="黑体" w:hAnsi="黑体" w:eastAsia="黑体" w:cs="黑体"/>
                <w:spacing w:val="-6"/>
                <w:kern w:val="0"/>
                <w:sz w:val="24"/>
                <w:szCs w:val="24"/>
              </w:rPr>
            </w:pPr>
            <w:r>
              <w:rPr>
                <w:rFonts w:ascii="黑体" w:hAnsi="黑体" w:eastAsia="黑体" w:cs="黑体"/>
                <w:spacing w:val="-6"/>
                <w:kern w:val="0"/>
                <w:sz w:val="24"/>
                <w:szCs w:val="24"/>
              </w:rPr>
              <w:t>智能安全监护</w:t>
            </w: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防走失设备</w:t>
            </w:r>
          </w:p>
        </w:tc>
        <w:tc>
          <w:tcPr>
            <w:tcW w:w="2947" w:type="pct"/>
            <w:noWrap w:val="0"/>
            <w:vAlign w:val="center"/>
          </w:tcPr>
          <w:p>
            <w:pPr>
              <w:adjustRightInd w:val="0"/>
              <w:snapToGrid w:val="0"/>
              <w:jc w:val="left"/>
              <w:rPr>
                <w:rFonts w:ascii="仿宋_GB2312"/>
                <w:spacing w:val="-6"/>
                <w:kern w:val="0"/>
                <w:sz w:val="24"/>
                <w:szCs w:val="24"/>
              </w:rPr>
            </w:pPr>
            <w:r>
              <w:rPr>
                <w:rFonts w:ascii="仿宋_GB2312" w:hAnsi="宋体" w:cs="宋体"/>
                <w:spacing w:val="-6"/>
                <w:kern w:val="0"/>
                <w:sz w:val="24"/>
                <w:szCs w:val="24"/>
              </w:rPr>
              <w:t>集成老年人身份信息，可监测定位（或具备电子围栏功能）、长期待机（无需频繁充电或更换电池），避免老年人走失。实时传输数据，向老年人亲属推送意外风险信息。可采取纽扣、手环、手杖、胸卡、钥匙扣等多种形式。</w:t>
            </w:r>
          </w:p>
        </w:tc>
        <w:tc>
          <w:tcPr>
            <w:tcW w:w="672" w:type="pct"/>
            <w:noWrap w:val="0"/>
            <w:vAlign w:val="center"/>
          </w:tcPr>
          <w:p>
            <w:pPr>
              <w:adjustRightInd w:val="0"/>
              <w:snapToGrid w:val="0"/>
              <w:jc w:val="center"/>
              <w:rPr>
                <w:rFonts w:ascii="仿宋_GB2312"/>
                <w:b/>
                <w:bCs/>
                <w:spacing w:val="-6"/>
                <w:kern w:val="0"/>
                <w:sz w:val="24"/>
                <w:szCs w:val="24"/>
              </w:rPr>
            </w:pPr>
            <w:r>
              <w:rPr>
                <w:rFonts w:ascii="仿宋_GB2312" w:hAnsi="宋体" w:cs="宋体"/>
                <w:b/>
                <w:bCs/>
                <w:spacing w:val="-6"/>
                <w:kern w:val="0"/>
                <w:sz w:val="24"/>
                <w:szCs w:val="24"/>
              </w:rPr>
              <w:t>重度智力及精神残疾的老年人为基础，其他老年人为可选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数据集成</w:t>
            </w:r>
          </w:p>
          <w:p>
            <w:pPr>
              <w:adjustRightInd w:val="0"/>
              <w:snapToGrid w:val="0"/>
              <w:jc w:val="center"/>
              <w:rPr>
                <w:rFonts w:ascii="仿宋_GB2312"/>
                <w:spacing w:val="-6"/>
                <w:kern w:val="0"/>
                <w:sz w:val="24"/>
                <w:szCs w:val="24"/>
              </w:rPr>
            </w:pPr>
            <w:r>
              <w:rPr>
                <w:rFonts w:ascii="仿宋_GB2312"/>
                <w:spacing w:val="-6"/>
                <w:kern w:val="0"/>
                <w:sz w:val="24"/>
                <w:szCs w:val="24"/>
              </w:rPr>
              <w:t>网关</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保证智能安全保护改造设备数据网络实时传输。</w:t>
            </w:r>
          </w:p>
        </w:tc>
        <w:tc>
          <w:tcPr>
            <w:tcW w:w="672" w:type="pct"/>
            <w:noWrap w:val="0"/>
            <w:vAlign w:val="center"/>
          </w:tcPr>
          <w:p>
            <w:pPr>
              <w:adjustRightInd w:val="0"/>
              <w:snapToGrid w:val="0"/>
              <w:jc w:val="center"/>
              <w:rPr>
                <w:rFonts w:ascii="仿宋_GB2312"/>
                <w:b/>
                <w:bCs/>
                <w:spacing w:val="-6"/>
                <w:kern w:val="0"/>
                <w:sz w:val="24"/>
                <w:szCs w:val="24"/>
              </w:rPr>
            </w:pPr>
            <w:r>
              <w:rPr>
                <w:rFonts w:ascii="仿宋_GB2312"/>
                <w:b/>
                <w:bCs/>
                <w:spacing w:val="-6"/>
                <w:kern w:val="0"/>
                <w:sz w:val="24"/>
                <w:szCs w:val="24"/>
              </w:rPr>
              <w:t>基础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一键呼叫</w:t>
            </w:r>
          </w:p>
          <w:p>
            <w:pPr>
              <w:adjustRightInd w:val="0"/>
              <w:snapToGrid w:val="0"/>
              <w:jc w:val="center"/>
              <w:rPr>
                <w:rFonts w:ascii="仿宋_GB2312"/>
                <w:spacing w:val="-6"/>
                <w:kern w:val="0"/>
                <w:sz w:val="24"/>
                <w:szCs w:val="24"/>
              </w:rPr>
            </w:pPr>
            <w:r>
              <w:rPr>
                <w:rFonts w:ascii="仿宋_GB2312"/>
                <w:spacing w:val="-6"/>
                <w:kern w:val="0"/>
                <w:sz w:val="24"/>
                <w:szCs w:val="24"/>
              </w:rPr>
              <w:t>装置</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安装在卧室床头、卫生间坐（蹲）便器旁、淋浴区等位置，用于老年人发生紧急情况时的主动报警。实时传输数据，如发生紧急呼叫，向老年人亲属及为老服务组织推送意外风险信息。</w:t>
            </w:r>
          </w:p>
        </w:tc>
        <w:tc>
          <w:tcPr>
            <w:tcW w:w="672" w:type="pct"/>
            <w:noWrap w:val="0"/>
            <w:vAlign w:val="center"/>
          </w:tcPr>
          <w:p>
            <w:pPr>
              <w:adjustRightInd w:val="0"/>
              <w:snapToGrid w:val="0"/>
              <w:jc w:val="center"/>
              <w:rPr>
                <w:rFonts w:ascii="仿宋_GB2312"/>
                <w:b/>
                <w:bCs/>
                <w:spacing w:val="-6"/>
                <w:kern w:val="0"/>
                <w:sz w:val="24"/>
                <w:szCs w:val="24"/>
              </w:rPr>
            </w:pPr>
            <w:r>
              <w:rPr>
                <w:rFonts w:ascii="仿宋_GB2312"/>
                <w:b/>
                <w:bCs/>
                <w:spacing w:val="-6"/>
                <w:kern w:val="0"/>
                <w:sz w:val="24"/>
                <w:szCs w:val="24"/>
              </w:rPr>
              <w:t>基础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60"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hAnsi="宋体" w:cs="宋体"/>
                <w:spacing w:val="-6"/>
                <w:kern w:val="0"/>
                <w:sz w:val="24"/>
                <w:szCs w:val="24"/>
              </w:rPr>
            </w:pPr>
            <w:r>
              <w:rPr>
                <w:rFonts w:ascii="仿宋_GB2312" w:hAnsi="宋体" w:cs="宋体"/>
                <w:spacing w:val="-6"/>
                <w:kern w:val="0"/>
                <w:sz w:val="24"/>
                <w:szCs w:val="24"/>
              </w:rPr>
              <w:t>人体感应</w:t>
            </w:r>
          </w:p>
          <w:p>
            <w:pPr>
              <w:adjustRightInd w:val="0"/>
              <w:snapToGrid w:val="0"/>
              <w:jc w:val="center"/>
              <w:rPr>
                <w:rFonts w:ascii="仿宋_GB2312"/>
                <w:spacing w:val="-6"/>
                <w:kern w:val="0"/>
                <w:sz w:val="24"/>
                <w:szCs w:val="24"/>
              </w:rPr>
            </w:pPr>
            <w:r>
              <w:rPr>
                <w:rFonts w:ascii="仿宋_GB2312" w:hAnsi="宋体" w:cs="宋体"/>
                <w:spacing w:val="-6"/>
                <w:kern w:val="0"/>
                <w:sz w:val="24"/>
                <w:szCs w:val="24"/>
              </w:rPr>
              <w:t>探测器</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安装在客厅、卫生间、卧室等居家环境中，监测老年人活动信息。实时传输数据，如发生老年人长时间处在某个区域，向老年人亲属及为老服务组织推送意外风险信息。可采取红外、AI摄像头、毫米波、雷达波等类型。</w:t>
            </w:r>
          </w:p>
        </w:tc>
        <w:tc>
          <w:tcPr>
            <w:tcW w:w="672" w:type="pct"/>
            <w:noWrap w:val="0"/>
            <w:vAlign w:val="center"/>
          </w:tcPr>
          <w:p>
            <w:pPr>
              <w:adjustRightInd w:val="0"/>
              <w:snapToGrid w:val="0"/>
              <w:jc w:val="center"/>
              <w:rPr>
                <w:rFonts w:ascii="仿宋_GB2312"/>
                <w:b/>
                <w:bCs/>
                <w:spacing w:val="-6"/>
                <w:kern w:val="0"/>
                <w:sz w:val="24"/>
                <w:szCs w:val="24"/>
              </w:rPr>
            </w:pPr>
            <w:r>
              <w:rPr>
                <w:rFonts w:ascii="仿宋_GB2312"/>
                <w:b/>
                <w:bCs/>
                <w:spacing w:val="-6"/>
                <w:kern w:val="0"/>
                <w:sz w:val="24"/>
                <w:szCs w:val="24"/>
              </w:rPr>
              <w:t>基础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hAnsi="宋体" w:cs="宋体"/>
                <w:spacing w:val="-6"/>
                <w:kern w:val="0"/>
                <w:sz w:val="24"/>
                <w:szCs w:val="24"/>
              </w:rPr>
            </w:pPr>
            <w:r>
              <w:rPr>
                <w:rFonts w:ascii="仿宋_GB2312"/>
                <w:spacing w:val="-6"/>
                <w:kern w:val="0"/>
                <w:sz w:val="24"/>
                <w:szCs w:val="24"/>
              </w:rPr>
              <w:t>门磁感应器</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安装在老年人家庭室内外出入主门口处。实时传输数据，如发生长期未关门情况，向老年人、老年人亲属及为老服务组织推送意外风险信息。</w:t>
            </w:r>
          </w:p>
        </w:tc>
        <w:tc>
          <w:tcPr>
            <w:tcW w:w="672" w:type="pct"/>
            <w:noWrap w:val="0"/>
            <w:vAlign w:val="center"/>
          </w:tcPr>
          <w:p>
            <w:pPr>
              <w:adjustRightInd w:val="0"/>
              <w:snapToGrid w:val="0"/>
              <w:jc w:val="center"/>
              <w:rPr>
                <w:rFonts w:ascii="仿宋_GB2312"/>
                <w:b/>
                <w:bCs/>
                <w:spacing w:val="-6"/>
                <w:kern w:val="0"/>
                <w:sz w:val="24"/>
                <w:szCs w:val="24"/>
              </w:rPr>
            </w:pPr>
            <w:r>
              <w:rPr>
                <w:rFonts w:ascii="仿宋_GB2312"/>
                <w:b/>
                <w:bCs/>
                <w:spacing w:val="-6"/>
                <w:kern w:val="0"/>
                <w:sz w:val="24"/>
                <w:szCs w:val="24"/>
              </w:rPr>
              <w:t>基础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煤气泄漏</w:t>
            </w:r>
          </w:p>
          <w:p>
            <w:pPr>
              <w:adjustRightInd w:val="0"/>
              <w:snapToGrid w:val="0"/>
              <w:jc w:val="center"/>
              <w:rPr>
                <w:rFonts w:ascii="仿宋_GB2312"/>
                <w:spacing w:val="-6"/>
                <w:kern w:val="0"/>
                <w:sz w:val="24"/>
                <w:szCs w:val="24"/>
              </w:rPr>
            </w:pPr>
            <w:r>
              <w:rPr>
                <w:rFonts w:ascii="仿宋_GB2312"/>
                <w:spacing w:val="-6"/>
                <w:kern w:val="0"/>
                <w:sz w:val="24"/>
                <w:szCs w:val="24"/>
              </w:rPr>
              <w:t>报警器</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发生煤气泄漏意外时，响铃提醒老年人及时处理。实时传输数据，向老年人亲属及为老服务组织推送意外风险信息。</w:t>
            </w:r>
          </w:p>
        </w:tc>
        <w:tc>
          <w:tcPr>
            <w:tcW w:w="672" w:type="pct"/>
            <w:noWrap w:val="0"/>
            <w:vAlign w:val="center"/>
          </w:tcPr>
          <w:p>
            <w:pPr>
              <w:adjustRightInd w:val="0"/>
              <w:snapToGrid w:val="0"/>
              <w:jc w:val="center"/>
              <w:rPr>
                <w:rFonts w:ascii="仿宋_GB2312"/>
                <w:b/>
                <w:bCs/>
                <w:spacing w:val="-6"/>
                <w:kern w:val="0"/>
                <w:sz w:val="24"/>
                <w:szCs w:val="24"/>
              </w:rPr>
            </w:pPr>
            <w:r>
              <w:rPr>
                <w:rFonts w:ascii="仿宋_GB2312"/>
                <w:b/>
                <w:bCs/>
                <w:spacing w:val="-6"/>
                <w:kern w:val="0"/>
                <w:sz w:val="24"/>
                <w:szCs w:val="24"/>
              </w:rPr>
              <w:t>基础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7"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溢水报警器</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发生溢水意外时，响铃提醒老年人及时处理。实时传输数据，向老年人亲属及为老服务组织推送意外风险信息。</w:t>
            </w:r>
          </w:p>
        </w:tc>
        <w:tc>
          <w:tcPr>
            <w:tcW w:w="672" w:type="pct"/>
            <w:noWrap w:val="0"/>
            <w:vAlign w:val="center"/>
          </w:tcPr>
          <w:p>
            <w:pPr>
              <w:adjustRightInd w:val="0"/>
              <w:snapToGrid w:val="0"/>
              <w:jc w:val="center"/>
              <w:rPr>
                <w:rFonts w:ascii="仿宋_GB2312"/>
                <w:b/>
                <w:bCs/>
                <w:spacing w:val="-6"/>
                <w:kern w:val="0"/>
                <w:sz w:val="24"/>
                <w:szCs w:val="24"/>
              </w:rPr>
            </w:pPr>
            <w:r>
              <w:rPr>
                <w:rFonts w:ascii="仿宋_GB2312"/>
                <w:b/>
                <w:bCs/>
                <w:spacing w:val="-6"/>
                <w:kern w:val="0"/>
                <w:sz w:val="24"/>
                <w:szCs w:val="24"/>
              </w:rPr>
              <w:t>基础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7"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烟雾报警器</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发生浓烟意外时，响铃提醒老年人及时处理。实时传输数据，向老年人亲属及为老服务组织推送意外风险信息。</w:t>
            </w:r>
          </w:p>
        </w:tc>
        <w:tc>
          <w:tcPr>
            <w:tcW w:w="672" w:type="pct"/>
            <w:noWrap w:val="0"/>
            <w:vAlign w:val="center"/>
          </w:tcPr>
          <w:p>
            <w:pPr>
              <w:adjustRightInd w:val="0"/>
              <w:snapToGrid w:val="0"/>
              <w:jc w:val="center"/>
              <w:rPr>
                <w:rFonts w:ascii="仿宋_GB2312"/>
                <w:b/>
                <w:bCs/>
                <w:spacing w:val="-6"/>
                <w:kern w:val="0"/>
                <w:sz w:val="24"/>
                <w:szCs w:val="24"/>
              </w:rPr>
            </w:pPr>
            <w:r>
              <w:rPr>
                <w:rFonts w:ascii="仿宋_GB2312"/>
                <w:b/>
                <w:bCs/>
                <w:spacing w:val="-6"/>
                <w:kern w:val="0"/>
                <w:sz w:val="24"/>
                <w:szCs w:val="24"/>
              </w:rPr>
              <w:t>基础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健康监测</w:t>
            </w:r>
          </w:p>
          <w:p>
            <w:pPr>
              <w:adjustRightInd w:val="0"/>
              <w:snapToGrid w:val="0"/>
              <w:jc w:val="center"/>
              <w:rPr>
                <w:rFonts w:ascii="仿宋_GB2312"/>
                <w:spacing w:val="-6"/>
                <w:kern w:val="0"/>
                <w:sz w:val="24"/>
                <w:szCs w:val="24"/>
              </w:rPr>
            </w:pPr>
            <w:r>
              <w:rPr>
                <w:rFonts w:ascii="仿宋_GB2312"/>
                <w:spacing w:val="-6"/>
                <w:kern w:val="0"/>
                <w:sz w:val="24"/>
                <w:szCs w:val="24"/>
              </w:rPr>
              <w:t>设备</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健康监测设备可分为便携式和可穿戴式，能够24小时监测老年人生命体征，如监测心电、血压、血糖、血氧、体温、心率、睡眠质量等，对异常情况及时推送。其中可穿戴式分为手环（腕带）、腰带、胸带类，手表类，服饰内置类。</w:t>
            </w:r>
          </w:p>
        </w:tc>
        <w:tc>
          <w:tcPr>
            <w:tcW w:w="672" w:type="pct"/>
            <w:noWrap w:val="0"/>
            <w:vAlign w:val="center"/>
          </w:tcPr>
          <w:p>
            <w:pPr>
              <w:adjustRightInd w:val="0"/>
              <w:snapToGrid w:val="0"/>
              <w:jc w:val="center"/>
              <w:rPr>
                <w:rFonts w:ascii="仿宋_GB2312"/>
                <w:b/>
                <w:bCs/>
                <w:spacing w:val="-6"/>
                <w:kern w:val="0"/>
                <w:sz w:val="24"/>
                <w:szCs w:val="24"/>
              </w:rPr>
            </w:pPr>
            <w:r>
              <w:rPr>
                <w:rFonts w:ascii="仿宋_GB2312"/>
                <w:b/>
                <w:bCs/>
                <w:spacing w:val="-6"/>
                <w:kern w:val="0"/>
                <w:sz w:val="24"/>
                <w:szCs w:val="24"/>
              </w:rPr>
              <w:t>基础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智慧屏</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通过智慧屏融合音视频、健身、教育等交互模式，与老年人手机、IOT设备、智能穿戴等硬件互联互通。</w:t>
            </w:r>
          </w:p>
        </w:tc>
        <w:tc>
          <w:tcPr>
            <w:tcW w:w="672"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可选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3"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智能门锁</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老年人发生紧急突发情况时，通过联系独居、空巢老人家庭成员，120等救援人员可通过密码第一时间进入房间，抓紧“黄金救援期”。</w:t>
            </w:r>
          </w:p>
        </w:tc>
        <w:tc>
          <w:tcPr>
            <w:tcW w:w="672" w:type="pct"/>
            <w:noWrap w:val="0"/>
            <w:vAlign w:val="center"/>
          </w:tcPr>
          <w:p>
            <w:pPr>
              <w:adjustRightInd w:val="0"/>
              <w:snapToGrid w:val="0"/>
              <w:jc w:val="center"/>
              <w:rPr>
                <w:rFonts w:ascii="仿宋_GB2312"/>
                <w:b/>
                <w:bCs/>
                <w:spacing w:val="-6"/>
                <w:kern w:val="0"/>
                <w:sz w:val="24"/>
                <w:szCs w:val="24"/>
              </w:rPr>
            </w:pPr>
            <w:r>
              <w:rPr>
                <w:rFonts w:ascii="仿宋_GB2312"/>
                <w:spacing w:val="-6"/>
                <w:kern w:val="0"/>
                <w:sz w:val="24"/>
                <w:szCs w:val="24"/>
              </w:rPr>
              <w:t>可选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智能康复</w:t>
            </w:r>
          </w:p>
          <w:p>
            <w:pPr>
              <w:adjustRightInd w:val="0"/>
              <w:snapToGrid w:val="0"/>
              <w:jc w:val="center"/>
              <w:rPr>
                <w:rFonts w:ascii="仿宋_GB2312"/>
                <w:spacing w:val="-6"/>
                <w:kern w:val="0"/>
                <w:sz w:val="24"/>
                <w:szCs w:val="24"/>
              </w:rPr>
            </w:pPr>
            <w:r>
              <w:rPr>
                <w:rFonts w:ascii="仿宋_GB2312"/>
                <w:spacing w:val="-6"/>
                <w:kern w:val="0"/>
                <w:sz w:val="24"/>
                <w:szCs w:val="24"/>
              </w:rPr>
              <w:t>设备</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智能康复设备包括认知训练、上肢训练、下肢训练、感官训练等训练项目，可以为老年人及认知障碍者及肢体障碍者提供专业、科学的训练项目，帮助其恢复健康状态。</w:t>
            </w:r>
          </w:p>
        </w:tc>
        <w:tc>
          <w:tcPr>
            <w:tcW w:w="672"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可选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restart"/>
            <w:noWrap w:val="0"/>
            <w:vAlign w:val="center"/>
          </w:tcPr>
          <w:p>
            <w:pPr>
              <w:adjustRightInd w:val="0"/>
              <w:snapToGrid w:val="0"/>
              <w:jc w:val="center"/>
              <w:rPr>
                <w:rFonts w:ascii="黑体" w:hAnsi="黑体" w:eastAsia="黑体" w:cs="黑体"/>
                <w:spacing w:val="-6"/>
                <w:kern w:val="0"/>
                <w:sz w:val="24"/>
                <w:szCs w:val="24"/>
              </w:rPr>
            </w:pPr>
            <w:r>
              <w:rPr>
                <w:rFonts w:ascii="黑体" w:hAnsi="黑体" w:eastAsia="黑体" w:cs="黑体"/>
                <w:spacing w:val="-6"/>
                <w:kern w:val="0"/>
                <w:sz w:val="24"/>
                <w:szCs w:val="24"/>
              </w:rPr>
              <w:t>辅助器具适配</w:t>
            </w: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手杖</w:t>
            </w:r>
          </w:p>
        </w:tc>
        <w:tc>
          <w:tcPr>
            <w:tcW w:w="2947" w:type="pct"/>
            <w:noWrap w:val="0"/>
            <w:vAlign w:val="center"/>
          </w:tcPr>
          <w:p>
            <w:pPr>
              <w:adjustRightInd w:val="0"/>
              <w:snapToGrid w:val="0"/>
              <w:jc w:val="left"/>
              <w:rPr>
                <w:rFonts w:ascii="仿宋_GB2312" w:hAnsi="宋体" w:cs="宋体"/>
                <w:spacing w:val="-6"/>
                <w:kern w:val="0"/>
                <w:sz w:val="24"/>
                <w:szCs w:val="24"/>
              </w:rPr>
            </w:pPr>
            <w:r>
              <w:rPr>
                <w:rFonts w:ascii="仿宋_GB2312"/>
                <w:spacing w:val="-6"/>
                <w:kern w:val="0"/>
                <w:sz w:val="24"/>
                <w:szCs w:val="24"/>
              </w:rPr>
              <w:t>包含手杖、三脚或四脚手杖、凳拐等（不超过家庭老年人数），辅助老年人平稳站立和行走。</w:t>
            </w:r>
          </w:p>
        </w:tc>
        <w:tc>
          <w:tcPr>
            <w:tcW w:w="672" w:type="pct"/>
            <w:noWrap w:val="0"/>
            <w:vAlign w:val="center"/>
          </w:tcPr>
          <w:p>
            <w:pPr>
              <w:adjustRightInd w:val="0"/>
              <w:snapToGrid w:val="0"/>
              <w:jc w:val="center"/>
              <w:rPr>
                <w:rFonts w:ascii="仿宋_GB2312"/>
                <w:b/>
                <w:bCs/>
                <w:spacing w:val="-6"/>
                <w:kern w:val="0"/>
                <w:sz w:val="24"/>
                <w:szCs w:val="24"/>
              </w:rPr>
            </w:pPr>
            <w:r>
              <w:rPr>
                <w:rFonts w:ascii="仿宋_GB2312"/>
                <w:b/>
                <w:bCs/>
                <w:spacing w:val="-6"/>
                <w:kern w:val="0"/>
                <w:sz w:val="24"/>
                <w:szCs w:val="24"/>
              </w:rPr>
              <w:t>基础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轮椅</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自推或由家人、护理人员辅助推行，增大老年人活动空间范围，包括普通轮椅、带姿势控制的特殊轮椅和电动轮椅等。</w:t>
            </w:r>
          </w:p>
        </w:tc>
        <w:tc>
          <w:tcPr>
            <w:tcW w:w="672"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可选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助行器</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包含框式、轮式、台式、带座助行器，辅助老年人站立和行走。</w:t>
            </w:r>
          </w:p>
        </w:tc>
        <w:tc>
          <w:tcPr>
            <w:tcW w:w="672" w:type="pct"/>
            <w:noWrap w:val="0"/>
            <w:vAlign w:val="center"/>
          </w:tcPr>
          <w:p>
            <w:pPr>
              <w:adjustRightInd w:val="0"/>
              <w:snapToGrid w:val="0"/>
              <w:jc w:val="center"/>
              <w:rPr>
                <w:rFonts w:ascii="仿宋_GB2312"/>
                <w:b/>
                <w:bCs/>
                <w:spacing w:val="-6"/>
                <w:kern w:val="0"/>
                <w:sz w:val="24"/>
                <w:szCs w:val="24"/>
              </w:rPr>
            </w:pPr>
            <w:r>
              <w:rPr>
                <w:rFonts w:ascii="仿宋_GB2312"/>
                <w:spacing w:val="-6"/>
                <w:kern w:val="0"/>
                <w:sz w:val="24"/>
                <w:szCs w:val="24"/>
              </w:rPr>
              <w:t>可选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接尿器或便盆</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适用于长期卧床或行动不便的老年人。</w:t>
            </w:r>
          </w:p>
        </w:tc>
        <w:tc>
          <w:tcPr>
            <w:tcW w:w="672"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可选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护理床</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帮助失能老年人完成起身、侧翻、上下床、吃饭等动作，辅助喂食、处理排泄物等，仅限失能老年人配置。</w:t>
            </w:r>
          </w:p>
        </w:tc>
        <w:tc>
          <w:tcPr>
            <w:tcW w:w="672"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可选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防压疮垫</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重新分布臀部与背部受力，避免长期乘坐轮椅或卧床的老年人发生严重压疮，包括防压疮坐垫、靠垫或床垫等。</w:t>
            </w:r>
          </w:p>
        </w:tc>
        <w:tc>
          <w:tcPr>
            <w:tcW w:w="672"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可选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放大设备</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使用光学原理或电子原理进行影像放大，方便视力不佳的老年人使用，包括放大镜、放大镜指甲剪等。</w:t>
            </w:r>
          </w:p>
        </w:tc>
        <w:tc>
          <w:tcPr>
            <w:tcW w:w="672"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可选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助听器</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帮助老年人听清声音来源，增加与周围的交流，改善心理健康状况。</w:t>
            </w:r>
          </w:p>
        </w:tc>
        <w:tc>
          <w:tcPr>
            <w:tcW w:w="672"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可选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420" w:type="pct"/>
            <w:vMerge w:val="continue"/>
            <w:noWrap w:val="0"/>
            <w:vAlign w:val="center"/>
          </w:tcPr>
          <w:p>
            <w:pPr>
              <w:adjustRightInd w:val="0"/>
              <w:snapToGrid w:val="0"/>
              <w:jc w:val="center"/>
              <w:rPr>
                <w:rFonts w:ascii="黑体" w:hAnsi="黑体" w:eastAsia="黑体" w:cs="黑体"/>
                <w:spacing w:val="-6"/>
                <w:kern w:val="0"/>
                <w:sz w:val="24"/>
                <w:szCs w:val="24"/>
              </w:rPr>
            </w:pPr>
          </w:p>
        </w:tc>
        <w:tc>
          <w:tcPr>
            <w:tcW w:w="231" w:type="pct"/>
            <w:noWrap w:val="0"/>
            <w:vAlign w:val="center"/>
          </w:tcPr>
          <w:p>
            <w:pPr>
              <w:numPr>
                <w:ilvl w:val="0"/>
                <w:numId w:val="1"/>
              </w:numPr>
              <w:adjustRightInd w:val="0"/>
              <w:snapToGrid w:val="0"/>
              <w:jc w:val="center"/>
              <w:rPr>
                <w:rFonts w:ascii="仿宋_GB2312"/>
                <w:spacing w:val="-6"/>
                <w:kern w:val="0"/>
                <w:sz w:val="24"/>
                <w:szCs w:val="24"/>
              </w:rPr>
            </w:pPr>
          </w:p>
        </w:tc>
        <w:tc>
          <w:tcPr>
            <w:tcW w:w="728" w:type="pct"/>
            <w:noWrap w:val="0"/>
            <w:vAlign w:val="center"/>
          </w:tcPr>
          <w:p>
            <w:pPr>
              <w:adjustRightInd w:val="0"/>
              <w:snapToGrid w:val="0"/>
              <w:jc w:val="center"/>
              <w:rPr>
                <w:rFonts w:ascii="仿宋_GB2312"/>
                <w:spacing w:val="-6"/>
                <w:kern w:val="0"/>
                <w:sz w:val="24"/>
                <w:szCs w:val="24"/>
              </w:rPr>
            </w:pPr>
            <w:r>
              <w:rPr>
                <w:rFonts w:ascii="仿宋_GB2312"/>
                <w:spacing w:val="-6"/>
                <w:kern w:val="0"/>
                <w:sz w:val="24"/>
                <w:szCs w:val="24"/>
              </w:rPr>
              <w:t>自助进食器具</w:t>
            </w:r>
          </w:p>
        </w:tc>
        <w:tc>
          <w:tcPr>
            <w:tcW w:w="2947" w:type="pct"/>
            <w:noWrap w:val="0"/>
            <w:vAlign w:val="center"/>
          </w:tcPr>
          <w:p>
            <w:pPr>
              <w:adjustRightInd w:val="0"/>
              <w:snapToGrid w:val="0"/>
              <w:jc w:val="left"/>
              <w:rPr>
                <w:rFonts w:ascii="仿宋_GB2312"/>
                <w:spacing w:val="-6"/>
                <w:kern w:val="0"/>
                <w:sz w:val="24"/>
                <w:szCs w:val="24"/>
              </w:rPr>
            </w:pPr>
            <w:r>
              <w:rPr>
                <w:rFonts w:ascii="仿宋_GB2312"/>
                <w:spacing w:val="-6"/>
                <w:kern w:val="0"/>
                <w:sz w:val="24"/>
                <w:szCs w:val="24"/>
              </w:rPr>
              <w:t>包括防洒碗（盘）、助食筷、弯柄勺（叉），辅助老年人进食。适老配重餐具，方便上肢及神经系统有功能障碍老年人的日常进食。</w:t>
            </w:r>
          </w:p>
        </w:tc>
        <w:tc>
          <w:tcPr>
            <w:tcW w:w="672" w:type="pct"/>
            <w:noWrap w:val="0"/>
            <w:vAlign w:val="center"/>
          </w:tcPr>
          <w:p>
            <w:pPr>
              <w:adjustRightInd w:val="0"/>
              <w:snapToGrid w:val="0"/>
              <w:jc w:val="center"/>
              <w:rPr>
                <w:rFonts w:ascii="仿宋_GB2312"/>
                <w:b/>
                <w:bCs/>
                <w:spacing w:val="-6"/>
                <w:kern w:val="0"/>
                <w:sz w:val="24"/>
                <w:szCs w:val="24"/>
              </w:rPr>
            </w:pPr>
            <w:r>
              <w:rPr>
                <w:rFonts w:ascii="仿宋_GB2312"/>
                <w:spacing w:val="-6"/>
                <w:kern w:val="0"/>
                <w:sz w:val="24"/>
                <w:szCs w:val="24"/>
              </w:rPr>
              <w:t>可选</w:t>
            </w:r>
          </w:p>
        </w:tc>
      </w:tr>
    </w:tbl>
    <w:p>
      <w:pPr>
        <w:spacing w:line="560" w:lineRule="exact"/>
        <w:rPr>
          <w:rFonts w:ascii="黑体" w:hAnsi="黑体" w:eastAsia="黑体" w:cs="黑体"/>
          <w:spacing w:val="0"/>
          <w:kern w:val="0"/>
        </w:rPr>
        <w:sectPr>
          <w:headerReference r:id="rId3" w:type="default"/>
          <w:footerReference r:id="rId4" w:type="default"/>
          <w:pgSz w:w="11906" w:h="16838"/>
          <w:pgMar w:top="2098" w:right="1531" w:bottom="1531" w:left="1531" w:header="850" w:footer="992" w:gutter="0"/>
          <w:pgNumType w:fmt="decimal"/>
          <w:cols w:space="720" w:num="1"/>
          <w:docGrid w:linePitch="440" w:charSpace="0"/>
        </w:sectPr>
      </w:pPr>
      <w:bookmarkStart w:id="0" w:name="_GoBack"/>
      <w:bookmarkEnd w:id="0"/>
    </w:p>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56565" cy="147955"/>
              <wp:effectExtent l="0" t="0" r="0" b="0"/>
              <wp:wrapNone/>
              <wp:docPr id="2" name="矩形 2"/>
              <wp:cNvGraphicFramePr/>
              <a:graphic xmlns:a="http://schemas.openxmlformats.org/drawingml/2006/main">
                <a:graphicData uri="http://schemas.microsoft.com/office/word/2010/wordprocessingShape">
                  <wps:wsp>
                    <wps:cNvSpPr/>
                    <wps:spPr>
                      <a:xfrm>
                        <a:off x="0" y="0"/>
                        <a:ext cx="456565" cy="147955"/>
                      </a:xfrm>
                      <a:prstGeom prst="rect">
                        <a:avLst/>
                      </a:prstGeom>
                      <a:noFill/>
                      <a:ln>
                        <a:noFill/>
                      </a:ln>
                    </wps:spPr>
                    <wps:txbx>
                      <w:txbxContent>
                        <w:p>
                          <w:pPr>
                            <w:pStyle w:val="5"/>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hint="default" w:ascii="宋体" w:hAnsi="宋体" w:cs="宋体"/>
                              <w:sz w:val="28"/>
                              <w:szCs w:val="28"/>
                            </w:rPr>
                            <w:t>32</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rect id="_x0000_s1026" o:spid="_x0000_s1026" o:spt="1" style="position:absolute;left:0pt;margin-top:0pt;height:11.65pt;width:35.95pt;mso-position-horizontal:outside;mso-position-horizontal-relative:margin;mso-wrap-style:none;z-index:251660288;mso-width-relative:page;mso-height-relative:page;" filled="f" stroked="f" coordsize="21600,21600" o:gfxdata="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rs6tvSAAAAAwEAAA8AAAAAAAAAAQAgAAAAIgAAAGRycy9kb3ducmV2LnhtbFBL&#10;AQIUABQAAAAIAIdO4kADXGG3wwEAAIoDAAAOAAAAAAAAAAEAIAAAACEBAABkcnMvZTJvRG9jLnht&#10;bFBLBQYAAAAABgAGAFkBAABWBQAAAAA=&#10;">
              <v:fill on="f" focussize="0,0"/>
              <v:stroke on="f"/>
              <v:imagedata o:title=""/>
              <o:lock v:ext="edit" aspectratio="f"/>
              <v:textbox inset="0mm,0mm,0mm,0mm" style="mso-fit-shape-to-text:t;">
                <w:txbxContent>
                  <w:p>
                    <w:pPr>
                      <w:pStyle w:val="5"/>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hint="default" w:ascii="宋体" w:hAnsi="宋体" w:cs="宋体"/>
                        <w:sz w:val="28"/>
                        <w:szCs w:val="28"/>
                      </w:rPr>
                      <w:t>32</w:t>
                    </w:r>
                    <w:r>
                      <w:rPr>
                        <w:rFonts w:ascii="宋体" w:hAnsi="宋体" w:cs="宋体"/>
                        <w:sz w:val="28"/>
                        <w:szCs w:val="28"/>
                      </w:rPr>
                      <w:fldChar w:fldCharType="end"/>
                    </w:r>
                    <w:r>
                      <w:rPr>
                        <w:rFonts w:ascii="宋体" w:hAnsi="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ascii="宋体" w:hAnsi="宋体" w:eastAsia="宋体" w:cs="宋体"/>
                              <w:sz w:val="28"/>
                              <w:szCs w:val="28"/>
                            </w:rPr>
                            <w:t>3</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fill on="f" focussize="0,0"/>
              <v:stroke on="f"/>
              <v:imagedata o:title=""/>
              <o:lock v:ext="edit" aspectratio="f"/>
              <v:textbox inset="0mm,0mm,0mm,0mm" style="mso-fit-shape-to-text:t;">
                <w:txbxContent>
                  <w:p>
                    <w:pPr>
                      <w:pStyle w:val="5"/>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ascii="宋体" w:hAnsi="宋体" w:eastAsia="宋体" w:cs="宋体"/>
                        <w:sz w:val="28"/>
                        <w:szCs w:val="28"/>
                      </w:rPr>
                      <w:t>3</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0177A"/>
    <w:rsid w:val="04A2444E"/>
    <w:rsid w:val="14306BA5"/>
    <w:rsid w:val="1ED026B8"/>
    <w:rsid w:val="294021FD"/>
    <w:rsid w:val="349F6CE8"/>
    <w:rsid w:val="367E03AC"/>
    <w:rsid w:val="3C3E3EDD"/>
    <w:rsid w:val="46465DC3"/>
    <w:rsid w:val="4E3B4AC2"/>
    <w:rsid w:val="5C522210"/>
    <w:rsid w:val="6303069D"/>
    <w:rsid w:val="681A51A2"/>
    <w:rsid w:val="68C0177A"/>
    <w:rsid w:val="6DA56ACE"/>
    <w:rsid w:val="73CD5BE9"/>
    <w:rsid w:val="748C2AB3"/>
    <w:rsid w:val="766A0CCA"/>
    <w:rsid w:val="799B7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仿宋_GB2312" w:cs="Times New Roman"/>
      <w:spacing w:val="10"/>
      <w:kern w:val="2"/>
      <w:sz w:val="32"/>
      <w:lang w:val="en-US" w:eastAsia="zh-CN" w:bidi="ar-SA"/>
    </w:rPr>
  </w:style>
  <w:style w:type="paragraph" w:styleId="3">
    <w:name w:val="heading 1"/>
    <w:basedOn w:val="1"/>
    <w:next w:val="1"/>
    <w:qFormat/>
    <w:uiPriority w:val="9"/>
    <w:pPr>
      <w:ind w:left="633"/>
      <w:outlineLvl w:val="0"/>
    </w:pPr>
    <w:rPr>
      <w:rFonts w:ascii="仿宋" w:hAnsi="仿宋" w:eastAsia="仿宋" w:cs="仿宋"/>
      <w:b/>
      <w:bCs/>
      <w:lang w:val="zh-CN" w:bidi="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Body Text First Indent 2"/>
    <w:basedOn w:val="4"/>
    <w:next w:val="1"/>
    <w:qFormat/>
    <w:uiPriority w:val="99"/>
    <w:pPr>
      <w:spacing w:before="100" w:beforeAutospacing="1"/>
      <w:ind w:firstLine="420" w:firstLineChars="200"/>
    </w:pPr>
    <w:rPr>
      <w:rFonts w:hint="default"/>
      <w:szCs w:val="32"/>
    </w:rPr>
  </w:style>
  <w:style w:type="paragraph" w:customStyle="1" w:styleId="10">
    <w:name w:val="PlainText"/>
    <w:basedOn w:val="1"/>
    <w:qFormat/>
    <w:uiPriority w:val="0"/>
    <w:pPr>
      <w:overflowPunct w:val="0"/>
      <w:spacing w:line="560" w:lineRule="exact"/>
    </w:pPr>
    <w:rPr>
      <w:rFonts w:ascii="宋体" w:hAnsi="Calibri" w:eastAsia="宋体"/>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2023-08-24T09:55:00Z</dcterms:created>
  <dc:creator>赵晓杰</dc:creator>
  <cp:lastModifiedBy>赵晓杰</cp:lastModifiedBy>
  <dcterms:modified xsi:type="dcterms:W3CDTF">2023-08-24T09:59:21Z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4B65BFCAF1394B619AAD4A6C7AE4F0F3</vt:lpwstr>
  </property>
</Properties>
</file>