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adjustRightInd w:val="0"/>
        <w:snapToGrid w:val="0"/>
        <w:spacing w:before="0" w:after="0" w:line="619" w:lineRule="exact"/>
        <w:outlineLvl w:val="9"/>
        <w:rPr>
          <w:rFonts w:ascii="方正小标宋_GBK" w:hAnsi="宋体" w:eastAsia="方正小标宋_GBK" w:cs="宋体"/>
          <w:b w:val="0"/>
          <w:kern w:val="44"/>
          <w:sz w:val="44"/>
          <w:szCs w:val="44"/>
        </w:rPr>
      </w:pPr>
      <w:r>
        <w:rPr>
          <w:rFonts w:hint="eastAsia" w:ascii="方正小标宋_GBK" w:hAnsi="宋体" w:eastAsia="方正小标宋_GBK" w:cs="宋体"/>
          <w:b w:val="0"/>
          <w:kern w:val="44"/>
          <w:sz w:val="44"/>
          <w:szCs w:val="44"/>
        </w:rPr>
        <w:t>采购需求书</w:t>
      </w:r>
    </w:p>
    <w:p>
      <w:pPr>
        <w:pStyle w:val="3"/>
        <w:widowControl/>
        <w:adjustRightInd w:val="0"/>
        <w:snapToGrid w:val="0"/>
        <w:spacing w:beforeLines="25" w:afterLines="25" w:line="400" w:lineRule="exact"/>
        <w:ind w:firstLine="640" w:firstLineChars="200"/>
        <w:rPr>
          <w:rFonts w:ascii="仿宋_GB2312" w:hAnsi="黑体" w:eastAsia="仿宋_GB2312" w:cs="黑体"/>
          <w:bCs/>
          <w:sz w:val="32"/>
          <w:szCs w:val="32"/>
        </w:rPr>
      </w:pPr>
      <w:bookmarkStart w:id="0" w:name="_GoBack"/>
      <w:bookmarkEnd w:id="0"/>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一、采购项目概况</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2022年全国科技活动周福田区特色活动策划执行相关服务，包括以下内容：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策划执行</w:t>
      </w:r>
      <w:r>
        <w:rPr>
          <w:rFonts w:hint="eastAsia" w:ascii="仿宋_GB2312" w:hAnsi="仿宋_GB2312" w:eastAsia="仿宋_GB2312" w:cs="仿宋_GB2312"/>
          <w:sz w:val="32"/>
          <w:szCs w:val="32"/>
        </w:rPr>
        <w:t>全国科技活动周福田区主会场活动，结合实际线上线下特色科技活动</w:t>
      </w:r>
      <w:r>
        <w:rPr>
          <w:rFonts w:hint="eastAsia" w:ascii="仿宋_GB2312" w:hAnsi="仿宋_GB2312" w:eastAsia="仿宋_GB2312" w:cs="仿宋_GB2312"/>
          <w:sz w:val="32"/>
          <w:szCs w:val="32"/>
          <w:lang w:eastAsia="zh-CN"/>
        </w:rPr>
        <w:t>的策划执行服务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聚焦国家重大战略，广泛宣传科技创新取得的系列重大成果。重点围绕展示深圳市高水平科技自立自强的成就，包括但不限于碳达峰碳中和、大数据与人工智能、公共安全、防灾减灾、航空航天、卫生健康、生物多样性保护、青少年科技等领域，策划的针对性强、参与性好、覆盖面广的主题科普活动；围绕公众关注的社会热点问题，策划的内涵丰富，互动性、体验性、趣味性强的创意科技活动。</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聚焦弘扬科学家精神，树立全社会理解和支持科技创新的正确导向，为科学研究和技术应用创造良好氛围，激发青少年热衷科学探索的兴趣。</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二、项目管理和服务要求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响应人根据采购需求，安排专业团队精心组织，负责提供</w:t>
      </w:r>
      <w:r>
        <w:rPr>
          <w:rFonts w:hint="eastAsia" w:ascii="仿宋_GB2312" w:hAnsi="仿宋_GB2312" w:eastAsia="仿宋_GB2312" w:cs="仿宋_GB2312"/>
          <w:sz w:val="32"/>
          <w:szCs w:val="32"/>
        </w:rPr>
        <w:t>全国科技活动周福田区特色活动策划执行相关服务</w:t>
      </w:r>
      <w:r>
        <w:rPr>
          <w:rFonts w:hint="eastAsia" w:ascii="仿宋_GB2312" w:hAnsi="仿宋" w:eastAsia="仿宋_GB2312"/>
          <w:sz w:val="32"/>
          <w:szCs w:val="32"/>
        </w:rPr>
        <w:t>，包括</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活动</w:t>
      </w:r>
      <w:r>
        <w:rPr>
          <w:rFonts w:hint="eastAsia" w:ascii="仿宋_GB2312" w:hAnsi="仿宋_GB2312" w:eastAsia="仿宋_GB2312" w:cs="仿宋_GB2312"/>
          <w:sz w:val="32"/>
          <w:szCs w:val="32"/>
        </w:rPr>
        <w:t>策划</w:t>
      </w:r>
      <w:r>
        <w:rPr>
          <w:rFonts w:hint="eastAsia" w:ascii="仿宋_GB2312" w:hAnsi="仿宋_GB2312" w:eastAsia="仿宋_GB2312" w:cs="仿宋_GB2312"/>
          <w:sz w:val="32"/>
          <w:szCs w:val="32"/>
          <w:lang w:eastAsia="zh-CN"/>
        </w:rPr>
        <w:t>、视觉设计、现场物料道具、布置</w:t>
      </w:r>
      <w:r>
        <w:rPr>
          <w:rFonts w:hint="eastAsia" w:ascii="仿宋_GB2312" w:hAnsi="仿宋_GB2312" w:eastAsia="仿宋_GB2312" w:cs="仿宋_GB2312"/>
          <w:sz w:val="32"/>
          <w:szCs w:val="32"/>
        </w:rPr>
        <w:t>活动、邀请媒体采访报道宣传等</w:t>
      </w:r>
      <w:r>
        <w:rPr>
          <w:rFonts w:hint="eastAsia" w:ascii="仿宋_GB2312" w:hAnsi="仿宋" w:eastAsia="仿宋_GB2312"/>
          <w:sz w:val="32"/>
          <w:szCs w:val="32"/>
        </w:rPr>
        <w:t>。</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bCs/>
          <w:sz w:val="32"/>
          <w:szCs w:val="32"/>
        </w:rPr>
      </w:pPr>
      <w:r>
        <w:rPr>
          <w:rFonts w:hint="eastAsia" w:ascii="黑体" w:hAnsi="黑体" w:eastAsia="黑体" w:cs="黑体"/>
          <w:bCs/>
          <w:sz w:val="32"/>
          <w:szCs w:val="32"/>
        </w:rPr>
        <w:t>三、商务需求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1、服务期：2022年</w:t>
      </w:r>
      <w:r>
        <w:rPr>
          <w:rFonts w:hint="eastAsia" w:ascii="仿宋_GB2312" w:hAnsi="仿宋" w:eastAsia="仿宋_GB2312"/>
          <w:sz w:val="32"/>
          <w:szCs w:val="32"/>
          <w:lang w:val="en-US" w:eastAsia="zh-CN"/>
        </w:rPr>
        <w:t>5</w:t>
      </w:r>
      <w:r>
        <w:rPr>
          <w:rFonts w:hint="eastAsia" w:ascii="仿宋_GB2312" w:hAnsi="仿宋" w:eastAsia="仿宋_GB2312"/>
          <w:sz w:val="32"/>
          <w:szCs w:val="32"/>
        </w:rPr>
        <w:t>月-2022年</w:t>
      </w:r>
      <w:r>
        <w:rPr>
          <w:rFonts w:hint="eastAsia" w:ascii="仿宋_GB2312" w:hAnsi="仿宋" w:eastAsia="仿宋_GB2312"/>
          <w:sz w:val="32"/>
          <w:szCs w:val="32"/>
          <w:lang w:val="en-US" w:eastAsia="zh-CN"/>
        </w:rPr>
        <w:t>6</w:t>
      </w:r>
      <w:r>
        <w:rPr>
          <w:rFonts w:hint="eastAsia" w:ascii="仿宋_GB2312" w:hAnsi="仿宋" w:eastAsia="仿宋_GB2312"/>
          <w:sz w:val="32"/>
          <w:szCs w:val="32"/>
        </w:rPr>
        <w:t>月。</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2、服务地点：福田区。</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3、报价要求：</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（1）本项目服务费采用包干制，总费用不得超过</w:t>
      </w:r>
      <w:r>
        <w:rPr>
          <w:rFonts w:hint="eastAsia" w:ascii="仿宋_GB2312" w:hAnsi="仿宋" w:eastAsia="仿宋_GB2312"/>
          <w:sz w:val="32"/>
          <w:szCs w:val="32"/>
          <w:lang w:val="en-US" w:eastAsia="zh-CN"/>
        </w:rPr>
        <w:t>3</w:t>
      </w:r>
      <w:r>
        <w:rPr>
          <w:rFonts w:hint="eastAsia" w:ascii="仿宋_GB2312" w:hAnsi="仿宋" w:eastAsia="仿宋_GB2312"/>
          <w:sz w:val="32"/>
          <w:szCs w:val="32"/>
        </w:rPr>
        <w:t>0万元,应包括服务成本、法定税费和企业的利润。由企业根据采购文件所提供的资料自行测算报价；一经中选，报价总价作为中选单位与采购人签定的合同金额，合同期限内不做调整；</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（2）响应人应根据本企业的成本自行决定报价，但不得以低于其企业成本的报价；</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（3）响应人的报价不得超过财政预算限额；</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（4）响应人的报价，应是本项目采购范围和采购文件及合同条款上所列的各项内容中所述的全部，不得以任何理由予以重复，并以响应人最终提出的总价为依据；</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5）除非采购人通过修改采购文件予以更正，否则，响应人应毫无例外地按响应文件所列的清单中项目填报总价。响应人未填总价的项目，在实施后，将不得以支付，并视作该项费用已包括在其它有价款的总价内；</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（6）响应人应先到项目地点调研以充分了解项目相关情况，任何因忽视或误解项目情况而导致的索赔或服务期限延长申请将不获批准；</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（7）响应人不得期望通过索赔等方式获取补偿，否则，除可能遭到拒绝外，还可能将被作为不良行为记录在案，并可能影响其以后参加政府采购。各响应人在报价时，应充分考虑报价的风险。</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（8）递交响应文件截止时间：根据相关征集通知要求确定。</w:t>
      </w:r>
    </w:p>
    <w:p>
      <w:pPr>
        <w:keepNext w:val="0"/>
        <w:keepLines w:val="0"/>
        <w:pageBreakBefore w:val="0"/>
        <w:widowControl/>
        <w:kinsoku/>
        <w:wordWrap/>
        <w:overflowPunct/>
        <w:topLinePunct w:val="0"/>
        <w:autoSpaceDE/>
        <w:autoSpaceDN/>
        <w:bidi w:val="0"/>
        <w:snapToGrid w:val="0"/>
        <w:spacing w:line="56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（9）响应人需为活动策划</w:t>
      </w:r>
      <w:r>
        <w:rPr>
          <w:rFonts w:hint="eastAsia" w:ascii="仿宋_GB2312" w:hAnsi="仿宋" w:eastAsia="仿宋_GB2312"/>
          <w:sz w:val="32"/>
          <w:szCs w:val="32"/>
          <w:lang w:eastAsia="zh-CN"/>
        </w:rPr>
        <w:t>执行类</w:t>
      </w:r>
      <w:r>
        <w:rPr>
          <w:rFonts w:hint="eastAsia" w:ascii="仿宋_GB2312" w:hAnsi="仿宋" w:eastAsia="仿宋_GB2312"/>
          <w:sz w:val="32"/>
          <w:szCs w:val="32"/>
        </w:rPr>
        <w:t>单位，有同类型服务经验，具有良好的信用记录，不得有违法失信等负面记录。</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4、付款方式：</w:t>
      </w:r>
      <w:r>
        <w:rPr>
          <w:rFonts w:hint="eastAsia" w:ascii="仿宋_GB2312" w:hAnsi="仿宋" w:eastAsia="仿宋_GB2312"/>
          <w:sz w:val="32"/>
          <w:szCs w:val="32"/>
          <w:lang w:eastAsia="zh-CN"/>
        </w:rPr>
        <w:t>由</w:t>
      </w:r>
      <w:r>
        <w:rPr>
          <w:rFonts w:hint="eastAsia" w:ascii="仿宋_GB2312" w:hAnsi="仿宋" w:eastAsia="仿宋_GB2312"/>
          <w:sz w:val="32"/>
          <w:szCs w:val="32"/>
        </w:rPr>
        <w:t>双方在合同中约定</w:t>
      </w:r>
      <w:r>
        <w:rPr>
          <w:rFonts w:hint="eastAsia" w:ascii="仿宋_GB2312" w:hAnsi="仿宋" w:eastAsia="仿宋_GB2312"/>
          <w:sz w:val="32"/>
          <w:szCs w:val="32"/>
          <w:lang w:eastAsia="zh-CN"/>
        </w:rPr>
        <w:t>，</w:t>
      </w:r>
      <w:r>
        <w:rPr>
          <w:rFonts w:hint="eastAsia" w:ascii="仿宋_GB2312" w:hAnsi="仿宋" w:eastAsia="仿宋_GB2312"/>
          <w:sz w:val="32"/>
          <w:szCs w:val="32"/>
        </w:rPr>
        <w:t>按照完成服务工作进度和资金</w:t>
      </w:r>
      <w:r>
        <w:rPr>
          <w:rFonts w:hint="eastAsia" w:ascii="仿宋_GB2312" w:hAnsi="仿宋" w:eastAsia="仿宋_GB2312"/>
          <w:sz w:val="32"/>
          <w:szCs w:val="32"/>
          <w:lang w:eastAsia="zh-CN"/>
        </w:rPr>
        <w:t>实际使用情况</w:t>
      </w:r>
      <w:r>
        <w:rPr>
          <w:rFonts w:hint="eastAsia" w:ascii="仿宋_GB2312" w:hAnsi="仿宋" w:eastAsia="仿宋_GB2312"/>
          <w:sz w:val="32"/>
          <w:szCs w:val="32"/>
        </w:rPr>
        <w:t>制定分期付款方式。</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5、履约担保金：由双方在合同中约定。</w:t>
      </w:r>
    </w:p>
    <w:p>
      <w:pPr>
        <w:pStyle w:val="3"/>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pPr>
      <w:r>
        <w:rPr>
          <w:rFonts w:hint="eastAsia" w:ascii="仿宋_GB2312" w:hAnsi="仿宋" w:eastAsia="仿宋_GB2312"/>
          <w:sz w:val="32"/>
          <w:szCs w:val="32"/>
        </w:rPr>
        <w:t>6、违约责任：由双方在合同中约定。</w:t>
      </w:r>
    </w:p>
    <w:p/>
    <w:sectPr>
      <w:footerReference r:id="rId3" w:type="default"/>
      <w:pgSz w:w="11906" w:h="16838"/>
      <w:pgMar w:top="1531" w:right="1474" w:bottom="153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QpVxR7cBAABgAwAADgAAAAAAAAABACAAAAA0AQAAZHJzL2Uy&#10;b0RvYy54bWxQSwUGAAAAAAYABgBZAQAAXQU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5FE584C"/>
    <w:rsid w:val="9DD7D850"/>
    <w:rsid w:val="FDDDB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next w:val="1"/>
    <w:qFormat/>
    <w:uiPriority w:val="0"/>
    <w:pPr>
      <w:widowControl w:val="0"/>
      <w:jc w:val="both"/>
    </w:pPr>
    <w:rPr>
      <w:rFonts w:ascii="Calibri" w:hAnsi="Calibri" w:eastAsia="宋体" w:cs="Calibri"/>
      <w:kern w:val="2"/>
      <w:sz w:val="21"/>
      <w:szCs w:val="21"/>
      <w:lang w:val="en-US" w:eastAsia="zh-CN" w:bidi="ar-SA"/>
    </w:rPr>
  </w:style>
  <w:style w:type="paragraph" w:styleId="3">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2"/>
      <w:lang w:val="en-US" w:eastAsia="zh-CN" w:bidi="ar-SA"/>
    </w:rPr>
  </w:style>
  <w:style w:type="paragraph" w:styleId="5">
    <w:name w:val="Title"/>
    <w:next w:val="1"/>
    <w:qFormat/>
    <w:uiPriority w:val="0"/>
    <w:pPr>
      <w:widowControl w:val="0"/>
      <w:spacing w:before="240" w:after="60"/>
      <w:jc w:val="center"/>
      <w:outlineLvl w:val="0"/>
    </w:pPr>
    <w:rPr>
      <w:rFonts w:ascii="Cambria" w:hAnsi="Cambria" w:eastAsia="宋体" w:cs="黑体"/>
      <w:b/>
      <w:bCs/>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彭章平</cp:lastModifiedBy>
  <dcterms:modified xsi:type="dcterms:W3CDTF">2023-06-14T18:43:36Z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