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Cs w:val="32"/>
        </w:rPr>
      </w:pPr>
    </w:p>
    <w:p>
      <w:pPr>
        <w:spacing w:line="360" w:lineRule="auto"/>
        <w:rPr>
          <w:rFonts w:ascii="仿宋_GB2312"/>
          <w:sz w:val="44"/>
          <w:szCs w:val="44"/>
        </w:rPr>
      </w:pPr>
    </w:p>
    <w:p>
      <w:pPr>
        <w:spacing w:line="360" w:lineRule="auto"/>
        <w:rPr>
          <w:rFonts w:ascii="仿宋_GB2312"/>
          <w:sz w:val="44"/>
          <w:szCs w:val="44"/>
        </w:rPr>
      </w:pPr>
    </w:p>
    <w:p>
      <w:pPr>
        <w:spacing w:line="360" w:lineRule="auto"/>
        <w:rPr>
          <w:rFonts w:ascii="仿宋_GB2312"/>
          <w:sz w:val="44"/>
          <w:szCs w:val="44"/>
        </w:rPr>
      </w:pPr>
    </w:p>
    <w:p>
      <w:pPr>
        <w:spacing w:line="360" w:lineRule="auto"/>
        <w:rPr>
          <w:rFonts w:ascii="仿宋_GB2312"/>
          <w:sz w:val="44"/>
          <w:szCs w:val="44"/>
        </w:rPr>
      </w:pPr>
    </w:p>
    <w:p>
      <w:pPr>
        <w:jc w:val="center"/>
        <w:rPr>
          <w:rFonts w:ascii="宋体" w:hAnsi="宋体"/>
          <w:sz w:val="44"/>
          <w:szCs w:val="44"/>
        </w:rPr>
      </w:pPr>
      <w:r>
        <w:rPr>
          <w:rFonts w:ascii="宋体" w:hAnsi="宋体"/>
          <w:sz w:val="44"/>
          <w:szCs w:val="44"/>
        </w:rPr>
        <w:t>20</w:t>
      </w:r>
      <w:r>
        <w:rPr>
          <w:rFonts w:hint="eastAsia" w:ascii="宋体" w:hAnsi="宋体"/>
          <w:sz w:val="44"/>
          <w:szCs w:val="44"/>
        </w:rPr>
        <w:t>21</w:t>
      </w:r>
      <w:r>
        <w:rPr>
          <w:rFonts w:ascii="宋体" w:hAnsi="宋体"/>
          <w:sz w:val="44"/>
          <w:szCs w:val="44"/>
        </w:rPr>
        <w:t>年</w:t>
      </w:r>
      <w:r>
        <w:rPr>
          <w:rFonts w:hint="eastAsia" w:ascii="宋体" w:hAnsi="宋体"/>
          <w:sz w:val="44"/>
          <w:szCs w:val="44"/>
        </w:rPr>
        <w:t>度部门</w:t>
      </w:r>
      <w:r>
        <w:rPr>
          <w:rFonts w:ascii="宋体" w:hAnsi="宋体"/>
          <w:sz w:val="44"/>
          <w:szCs w:val="44"/>
        </w:rPr>
        <w:t>整体绩效</w:t>
      </w:r>
      <w:r>
        <w:rPr>
          <w:rFonts w:hint="eastAsia" w:ascii="宋体" w:hAnsi="宋体"/>
          <w:sz w:val="44"/>
          <w:szCs w:val="44"/>
        </w:rPr>
        <w:t>评价</w:t>
      </w:r>
      <w:r>
        <w:rPr>
          <w:rFonts w:ascii="宋体" w:hAnsi="宋体"/>
          <w:sz w:val="44"/>
          <w:szCs w:val="44"/>
        </w:rPr>
        <w:t>报告</w:t>
      </w:r>
    </w:p>
    <w:p>
      <w:pPr>
        <w:spacing w:line="360" w:lineRule="auto"/>
        <w:rPr>
          <w:rFonts w:ascii="仿宋_GB2312"/>
          <w:szCs w:val="32"/>
        </w:rPr>
      </w:pPr>
    </w:p>
    <w:p>
      <w:pPr>
        <w:spacing w:line="360" w:lineRule="auto"/>
        <w:rPr>
          <w:rFonts w:ascii="仿宋_GB2312"/>
          <w:szCs w:val="32"/>
        </w:rPr>
      </w:pPr>
    </w:p>
    <w:p>
      <w:pPr>
        <w:spacing w:line="360" w:lineRule="auto"/>
        <w:rPr>
          <w:rFonts w:ascii="仿宋_GB2312"/>
          <w:szCs w:val="32"/>
        </w:rPr>
      </w:pPr>
    </w:p>
    <w:p>
      <w:pPr>
        <w:spacing w:line="360" w:lineRule="auto"/>
        <w:rPr>
          <w:rFonts w:ascii="仿宋_GB2312"/>
          <w:szCs w:val="32"/>
        </w:rPr>
      </w:pPr>
    </w:p>
    <w:p>
      <w:pPr>
        <w:spacing w:line="360" w:lineRule="auto"/>
        <w:rPr>
          <w:rFonts w:ascii="仿宋_GB2312"/>
          <w:szCs w:val="32"/>
        </w:rPr>
      </w:pPr>
    </w:p>
    <w:p>
      <w:pPr>
        <w:spacing w:line="360" w:lineRule="auto"/>
        <w:rPr>
          <w:rFonts w:ascii="仿宋_GB2312"/>
          <w:szCs w:val="32"/>
        </w:rPr>
      </w:pPr>
    </w:p>
    <w:p>
      <w:pPr>
        <w:spacing w:line="360" w:lineRule="auto"/>
        <w:rPr>
          <w:rFonts w:ascii="仿宋_GB2312"/>
          <w:szCs w:val="32"/>
        </w:rPr>
      </w:pPr>
    </w:p>
    <w:p>
      <w:pPr>
        <w:spacing w:line="360" w:lineRule="auto"/>
        <w:ind w:firstLine="1600" w:firstLineChars="500"/>
        <w:rPr>
          <w:rFonts w:ascii="仿宋_GB2312"/>
          <w:szCs w:val="32"/>
        </w:rPr>
      </w:pPr>
      <w:r>
        <w:rPr>
          <w:rFonts w:hint="eastAsia" w:ascii="仿宋_GB2312"/>
          <w:szCs w:val="32"/>
        </w:rPr>
        <w:t>部门名称（公章）：深圳市福田区国库支付中心</w:t>
      </w:r>
    </w:p>
    <w:p>
      <w:pPr>
        <w:spacing w:line="360" w:lineRule="auto"/>
        <w:ind w:firstLine="1600" w:firstLineChars="500"/>
        <w:rPr>
          <w:rFonts w:ascii="仿宋_GB2312"/>
          <w:szCs w:val="32"/>
        </w:rPr>
      </w:pPr>
      <w:r>
        <w:rPr>
          <w:rFonts w:hint="eastAsia" w:ascii="仿宋_GB2312"/>
          <w:szCs w:val="32"/>
        </w:rPr>
        <w:t>填报人：方馨</w:t>
      </w:r>
    </w:p>
    <w:p>
      <w:pPr>
        <w:spacing w:line="360" w:lineRule="auto"/>
        <w:ind w:firstLine="1600" w:firstLineChars="500"/>
        <w:rPr>
          <w:rFonts w:ascii="仿宋_GB2312"/>
          <w:szCs w:val="32"/>
        </w:rPr>
      </w:pPr>
      <w:r>
        <w:rPr>
          <w:rFonts w:hint="eastAsia" w:ascii="仿宋_GB2312"/>
          <w:szCs w:val="32"/>
        </w:rPr>
        <w:t>联系电话：</w:t>
      </w:r>
      <w:r>
        <w:rPr>
          <w:rFonts w:ascii="仿宋_GB2312"/>
          <w:szCs w:val="32"/>
        </w:rPr>
        <w:t>0755-82918973</w:t>
      </w:r>
    </w:p>
    <w:p>
      <w:pPr>
        <w:jc w:val="center"/>
        <w:rPr>
          <w:rFonts w:ascii="宋体" w:hAnsi="宋体"/>
          <w:sz w:val="44"/>
          <w:szCs w:val="44"/>
        </w:rPr>
      </w:pPr>
    </w:p>
    <w:p>
      <w:pPr>
        <w:rPr>
          <w:rFonts w:ascii="宋体" w:hAnsi="宋体"/>
          <w:sz w:val="44"/>
          <w:szCs w:val="44"/>
        </w:rPr>
      </w:pPr>
    </w:p>
    <w:p>
      <w:pPr>
        <w:widowControl/>
        <w:jc w:val="left"/>
        <w:rPr>
          <w:rFonts w:ascii="黑体" w:hAnsi="黑体" w:eastAsia="黑体" w:cs="黑体"/>
          <w:bCs/>
          <w:szCs w:val="32"/>
        </w:rPr>
      </w:pPr>
      <w:r>
        <w:rPr>
          <w:rFonts w:ascii="黑体" w:hAnsi="黑体" w:eastAsia="黑体" w:cs="黑体"/>
          <w:bCs/>
          <w:szCs w:val="32"/>
        </w:rPr>
        <w:br w:type="page"/>
      </w:r>
    </w:p>
    <w:p>
      <w:pPr>
        <w:pStyle w:val="2"/>
        <w:ind w:firstLine="640"/>
      </w:pPr>
      <w:r>
        <w:rPr>
          <w:rFonts w:hint="eastAsia"/>
        </w:rPr>
        <w:t>一、部门基本情况</w:t>
      </w:r>
    </w:p>
    <w:p>
      <w:pPr>
        <w:pStyle w:val="3"/>
        <w:ind w:firstLine="643"/>
      </w:pPr>
      <w:r>
        <w:rPr>
          <w:rFonts w:hint="eastAsia"/>
        </w:rPr>
        <w:t>（一）部门主要职能</w:t>
      </w:r>
    </w:p>
    <w:p>
      <w:pPr>
        <w:snapToGrid w:val="0"/>
        <w:spacing w:line="580" w:lineRule="exact"/>
        <w:ind w:firstLine="640" w:firstLineChars="200"/>
        <w:rPr>
          <w:rFonts w:ascii="仿宋_GB2312" w:hAnsi="黑体" w:cs="黑体"/>
          <w:bCs/>
          <w:szCs w:val="32"/>
        </w:rPr>
      </w:pPr>
      <w:r>
        <w:rPr>
          <w:rFonts w:hint="eastAsia" w:ascii="仿宋_GB2312" w:hAnsi="黑体" w:cs="黑体"/>
          <w:bCs/>
          <w:szCs w:val="32"/>
        </w:rPr>
        <w:t>深圳市福田区国库支付中心（以下简称“中心”）的主要职能为：</w:t>
      </w:r>
    </w:p>
    <w:p>
      <w:pPr>
        <w:snapToGrid w:val="0"/>
        <w:spacing w:line="580" w:lineRule="exact"/>
        <w:ind w:firstLine="640" w:firstLineChars="200"/>
        <w:rPr>
          <w:rFonts w:ascii="仿宋_GB2312" w:hAnsi="黑体" w:cs="黑体"/>
          <w:bCs/>
          <w:szCs w:val="32"/>
        </w:rPr>
      </w:pPr>
      <w:r>
        <w:rPr>
          <w:rFonts w:hint="eastAsia" w:ascii="仿宋_GB2312" w:hAnsi="黑体" w:cs="黑体"/>
          <w:bCs/>
          <w:szCs w:val="32"/>
        </w:rPr>
        <w:t>1.根据经批复的各预算单位用款计划，负责审核、办理相关财政国库支付业务。</w:t>
      </w:r>
    </w:p>
    <w:p>
      <w:pPr>
        <w:snapToGrid w:val="0"/>
        <w:spacing w:line="580" w:lineRule="exact"/>
        <w:ind w:firstLine="640" w:firstLineChars="200"/>
        <w:rPr>
          <w:rFonts w:ascii="仿宋_GB2312" w:hAnsi="黑体" w:cs="黑体"/>
          <w:bCs/>
          <w:szCs w:val="32"/>
        </w:rPr>
      </w:pPr>
      <w:r>
        <w:rPr>
          <w:rFonts w:hint="eastAsia" w:ascii="仿宋_GB2312" w:hAnsi="黑体" w:cs="黑体"/>
          <w:bCs/>
          <w:szCs w:val="32"/>
        </w:rPr>
        <w:t>2.依法监督预算单位的财务收支活动。管理预算单位支付信息，及时向财政部门提供财政资金支付和清算信息。</w:t>
      </w:r>
    </w:p>
    <w:p>
      <w:pPr>
        <w:snapToGrid w:val="0"/>
        <w:spacing w:line="580" w:lineRule="exact"/>
        <w:ind w:firstLine="640" w:firstLineChars="200"/>
        <w:rPr>
          <w:rFonts w:ascii="仿宋_GB2312" w:hAnsi="黑体" w:cs="黑体"/>
          <w:bCs/>
          <w:szCs w:val="32"/>
        </w:rPr>
      </w:pPr>
      <w:r>
        <w:rPr>
          <w:rFonts w:hint="eastAsia" w:ascii="仿宋_GB2312" w:hAnsi="黑体" w:cs="黑体"/>
          <w:bCs/>
          <w:szCs w:val="32"/>
        </w:rPr>
        <w:t>3.贯彻执行有关法律、法规和制度，对纳入中心管理的预算单位进行财务集中核算，对各预算单位的经费账户进行统一管理。</w:t>
      </w:r>
    </w:p>
    <w:p>
      <w:pPr>
        <w:snapToGrid w:val="0"/>
        <w:spacing w:line="580" w:lineRule="exact"/>
        <w:ind w:firstLine="640" w:firstLineChars="200"/>
        <w:rPr>
          <w:rFonts w:ascii="仿宋_GB2312" w:hAnsi="黑体" w:cs="黑体"/>
          <w:bCs/>
          <w:szCs w:val="32"/>
        </w:rPr>
      </w:pPr>
      <w:r>
        <w:rPr>
          <w:rFonts w:hint="eastAsia" w:ascii="仿宋_GB2312" w:hAnsi="黑体" w:cs="黑体"/>
          <w:bCs/>
          <w:szCs w:val="32"/>
        </w:rPr>
        <w:t>4.提供相关财务信息及预算执行分析报告。</w:t>
      </w:r>
    </w:p>
    <w:p>
      <w:pPr>
        <w:snapToGrid w:val="0"/>
        <w:spacing w:line="580" w:lineRule="exact"/>
        <w:ind w:firstLine="640" w:firstLineChars="200"/>
        <w:rPr>
          <w:rFonts w:ascii="仿宋_GB2312" w:hAnsi="黑体" w:cs="黑体"/>
          <w:bCs/>
          <w:szCs w:val="32"/>
        </w:rPr>
      </w:pPr>
      <w:r>
        <w:rPr>
          <w:rFonts w:hint="eastAsia" w:ascii="仿宋_GB2312" w:hAnsi="黑体" w:cs="黑体"/>
          <w:bCs/>
          <w:szCs w:val="32"/>
        </w:rPr>
        <w:t>5.负责管理、维护相关会计档案和信息系统。</w:t>
      </w:r>
    </w:p>
    <w:p>
      <w:pPr>
        <w:snapToGrid w:val="0"/>
        <w:spacing w:line="580" w:lineRule="exact"/>
        <w:ind w:firstLine="640" w:firstLineChars="200"/>
        <w:rPr>
          <w:rFonts w:ascii="仿宋_GB2312" w:hAnsi="黑体" w:cs="黑体"/>
          <w:bCs/>
          <w:szCs w:val="32"/>
        </w:rPr>
      </w:pPr>
      <w:r>
        <w:rPr>
          <w:rFonts w:hint="eastAsia" w:ascii="仿宋_GB2312" w:hAnsi="黑体" w:cs="黑体"/>
          <w:bCs/>
          <w:szCs w:val="32"/>
        </w:rPr>
        <w:t>6.承办区委、区政府和上级部门交办的其他事项。</w:t>
      </w:r>
    </w:p>
    <w:p>
      <w:pPr>
        <w:pStyle w:val="3"/>
        <w:ind w:firstLine="643"/>
      </w:pPr>
      <w:r>
        <w:rPr>
          <w:rFonts w:hint="eastAsia"/>
        </w:rPr>
        <w:t>（二）年度总体工作和重点工作任务</w:t>
      </w:r>
    </w:p>
    <w:p>
      <w:pPr>
        <w:snapToGrid w:val="0"/>
        <w:spacing w:line="580" w:lineRule="exact"/>
        <w:ind w:firstLine="643" w:firstLineChars="200"/>
        <w:rPr>
          <w:rFonts w:ascii="仿宋_GB2312" w:hAnsi="楷体_GB2312" w:cs="楷体_GB2312"/>
          <w:b/>
          <w:bCs/>
          <w:szCs w:val="32"/>
        </w:rPr>
      </w:pPr>
      <w:r>
        <w:rPr>
          <w:rFonts w:hint="eastAsia" w:ascii="仿宋_GB2312" w:hAnsi="楷体_GB2312" w:cs="楷体_GB2312"/>
          <w:b/>
          <w:bCs/>
          <w:szCs w:val="32"/>
        </w:rPr>
        <w:t>1.强化思想认识，加强党的全面领导</w:t>
      </w:r>
    </w:p>
    <w:p>
      <w:pPr>
        <w:snapToGrid w:val="0"/>
        <w:spacing w:line="580" w:lineRule="exact"/>
        <w:ind w:firstLine="643" w:firstLineChars="200"/>
        <w:rPr>
          <w:rFonts w:ascii="仿宋_GB2312" w:hAnsi="楷体_GB2312" w:cs="楷体_GB2312"/>
          <w:szCs w:val="32"/>
        </w:rPr>
      </w:pPr>
      <w:r>
        <w:rPr>
          <w:rFonts w:hint="eastAsia" w:ascii="仿宋_GB2312" w:hAnsi="楷体_GB2312" w:cs="楷体_GB2312"/>
          <w:b/>
          <w:bCs/>
          <w:szCs w:val="32"/>
        </w:rPr>
        <w:t>一是</w:t>
      </w:r>
      <w:r>
        <w:rPr>
          <w:rFonts w:hint="eastAsia" w:ascii="仿宋_GB2312" w:hAnsi="楷体_GB2312" w:cs="楷体_GB2312"/>
          <w:szCs w:val="32"/>
        </w:rPr>
        <w:t>切实提高政治站位，强化思想认识，坚持和加强党的全面领导，积极发挥党组总揽全局、协调各方的领导核心作用，深入落实单位党组抓党建的主体责任。</w:t>
      </w:r>
      <w:r>
        <w:rPr>
          <w:rFonts w:hint="eastAsia" w:ascii="仿宋_GB2312" w:hAnsi="楷体_GB2312" w:cs="楷体_GB2312"/>
          <w:b/>
          <w:bCs/>
          <w:szCs w:val="32"/>
        </w:rPr>
        <w:t>二是</w:t>
      </w:r>
      <w:r>
        <w:rPr>
          <w:rFonts w:hint="eastAsia" w:ascii="仿宋_GB2312" w:hAnsi="楷体_GB2312" w:cs="楷体_GB2312"/>
          <w:szCs w:val="32"/>
        </w:rPr>
        <w:t>进一步厘清党组会议、行政班子会议之间的关系，充分落实好“三重一大”工作制度。</w:t>
      </w:r>
      <w:r>
        <w:rPr>
          <w:rFonts w:hint="eastAsia" w:ascii="仿宋_GB2312" w:hAnsi="楷体_GB2312" w:cs="楷体_GB2312"/>
          <w:b/>
          <w:bCs/>
          <w:szCs w:val="32"/>
        </w:rPr>
        <w:t>三是</w:t>
      </w:r>
      <w:r>
        <w:rPr>
          <w:rFonts w:hint="eastAsia" w:ascii="仿宋_GB2312" w:hAnsi="楷体_GB2312" w:cs="楷体_GB2312"/>
          <w:szCs w:val="32"/>
        </w:rPr>
        <w:t>进一步强化理论学习，加强理论指导实践。继续巩固和加强好“不忘初心、牢记使命”主题教育成果，使“三会一课”制度化、常态化。形成与业务工作相互渗透、互相促进的局面，充分发挥好党建工作的引领作用。四是深入推进我中心党风廉政建设。一方面，坚持把党纪视为“高压线”，把党风廉政建设规定视为“警戒线”，把各项纪律内化于心。另一方面，以树立正确的权力观为重点，加强对党员干部的理想信念、党风党纪、廉洁从政和艰苦奋斗教育，切实发挥好正面典型引导作用和反面典型的警示作用。</w:t>
      </w:r>
    </w:p>
    <w:p>
      <w:pPr>
        <w:snapToGrid w:val="0"/>
        <w:spacing w:line="580" w:lineRule="exact"/>
        <w:ind w:firstLine="643" w:firstLineChars="200"/>
        <w:rPr>
          <w:rFonts w:ascii="仿宋_GB2312" w:hAnsi="楷体_GB2312" w:cs="楷体_GB2312"/>
          <w:b/>
          <w:bCs/>
          <w:szCs w:val="32"/>
        </w:rPr>
      </w:pPr>
      <w:r>
        <w:rPr>
          <w:rFonts w:hint="eastAsia" w:ascii="仿宋_GB2312" w:hAnsi="楷体_GB2312" w:cs="楷体_GB2312"/>
          <w:b/>
          <w:bCs/>
          <w:szCs w:val="32"/>
        </w:rPr>
        <w:t>2.提高服务意识，继续做好业务工作</w:t>
      </w:r>
    </w:p>
    <w:p>
      <w:pPr>
        <w:snapToGrid w:val="0"/>
        <w:spacing w:line="580" w:lineRule="exact"/>
        <w:ind w:firstLine="643" w:firstLineChars="200"/>
        <w:rPr>
          <w:rFonts w:ascii="仿宋_GB2312" w:hAnsi="楷体_GB2312" w:cs="楷体_GB2312"/>
          <w:szCs w:val="32"/>
        </w:rPr>
      </w:pPr>
      <w:r>
        <w:rPr>
          <w:rFonts w:hint="eastAsia" w:ascii="仿宋_GB2312" w:hAnsi="楷体_GB2312" w:cs="楷体_GB2312"/>
          <w:b/>
          <w:bCs/>
          <w:szCs w:val="32"/>
        </w:rPr>
        <w:t>一是</w:t>
      </w:r>
      <w:r>
        <w:rPr>
          <w:rFonts w:hint="eastAsia" w:ascii="仿宋_GB2312" w:hAnsi="楷体_GB2312" w:cs="楷体_GB2312"/>
          <w:szCs w:val="32"/>
        </w:rPr>
        <w:t>坚持“规范第一，服务至上，效率保障”的工作宗旨，做到既严格把好资金的使用关，又给核算单位提供优质的服务。用心服务，换位思考，加强与各预算单位之间联系，及时协调解决预算单位的实际问题，争取做到坚持原则的基础上得到预算单位更大的理解和支持。进一步完善和推进“业务标准+”工作流程，优化工作流程，提高工作效率。</w:t>
      </w:r>
      <w:r>
        <w:rPr>
          <w:rFonts w:hint="eastAsia" w:ascii="仿宋_GB2312" w:hAnsi="楷体_GB2312" w:cs="楷体_GB2312"/>
          <w:b/>
          <w:bCs/>
          <w:szCs w:val="32"/>
        </w:rPr>
        <w:t>二是</w:t>
      </w:r>
      <w:r>
        <w:rPr>
          <w:rFonts w:hint="eastAsia" w:ascii="仿宋_GB2312" w:hAnsi="楷体_GB2312" w:cs="楷体_GB2312"/>
          <w:szCs w:val="32"/>
        </w:rPr>
        <w:t>修订完善各项规章制度。结合业务工作实际，针对工作开展过程中遇到的困难和问题，制定各类制度指引，为全区会计核算业务有序开展提供指导和参考依据。</w:t>
      </w:r>
    </w:p>
    <w:p>
      <w:pPr>
        <w:snapToGrid w:val="0"/>
        <w:spacing w:line="580" w:lineRule="exact"/>
        <w:ind w:firstLine="643" w:firstLineChars="200"/>
        <w:rPr>
          <w:rFonts w:ascii="仿宋_GB2312" w:hAnsi="楷体_GB2312" w:cs="楷体_GB2312"/>
          <w:b/>
          <w:bCs/>
          <w:szCs w:val="32"/>
        </w:rPr>
      </w:pPr>
      <w:r>
        <w:rPr>
          <w:rFonts w:hint="eastAsia" w:ascii="仿宋_GB2312" w:hAnsi="楷体_GB2312" w:cs="楷体_GB2312"/>
          <w:b/>
          <w:bCs/>
          <w:szCs w:val="32"/>
        </w:rPr>
        <w:t>3.打破系统壁垒，实现信息共享、数据互通</w:t>
      </w:r>
    </w:p>
    <w:p>
      <w:pPr>
        <w:snapToGrid w:val="0"/>
        <w:spacing w:line="580" w:lineRule="exact"/>
        <w:ind w:firstLine="640" w:firstLineChars="200"/>
        <w:rPr>
          <w:rFonts w:ascii="仿宋_GB2312" w:hAnsi="楷体_GB2312" w:cs="楷体_GB2312"/>
          <w:szCs w:val="32"/>
        </w:rPr>
      </w:pPr>
      <w:r>
        <w:rPr>
          <w:rFonts w:hint="eastAsia" w:ascii="仿宋_GB2312" w:hAnsi="楷体_GB2312" w:cs="楷体_GB2312"/>
          <w:szCs w:val="32"/>
        </w:rPr>
        <w:t>以“大会计理念”为指导，以合理的业务流程为主线融合各业务系统，打破部门信息数据孤岛，形成业务流、资金流、信息流三流合一的一体化数据管理平台，提高资金和业务的透明度和可溯性。推进报账全流程自动监督管控，在各项业务活动中嵌入报账流程审核要求，将报账规则预制到业务、报账流程，提高“业务驱动财务报账、财务核算反映业务信息”的核算管理水平。搭建数字化财务共享平台，对接各业务流程系统，实时动态监督。</w:t>
      </w:r>
    </w:p>
    <w:p>
      <w:pPr>
        <w:snapToGrid w:val="0"/>
        <w:spacing w:line="580" w:lineRule="exact"/>
        <w:ind w:firstLine="640" w:firstLineChars="200"/>
        <w:rPr>
          <w:rFonts w:ascii="仿宋_GB2312" w:hAnsi="楷体_GB2312" w:cs="楷体_GB2312"/>
          <w:szCs w:val="32"/>
        </w:rPr>
      </w:pPr>
      <w:r>
        <w:rPr>
          <w:rFonts w:hint="eastAsia" w:ascii="仿宋_GB2312" w:hAnsi="楷体_GB2312" w:cs="楷体_GB2312"/>
          <w:szCs w:val="32"/>
        </w:rPr>
        <w:t>中心将在调研课题的基础上，持续推进福田区财务共享及数字化建设，通过财务共享及数字化建设，提升支付中心会计核算和国库支付的及时性、准确性和精细度，建立全区会计核算和国库支付统一处理和运营管理的组织平台和系统平台，将其打造成为业务与财务对接的桥梁和纽带，从而确保各级单位的管理制度得到有效的落实和执行，提升风险管控能力和政府治理能力，加快由传统型政府向数字型政府的转变。</w:t>
      </w:r>
    </w:p>
    <w:p>
      <w:pPr>
        <w:pStyle w:val="3"/>
        <w:ind w:firstLine="643"/>
        <w:rPr>
          <w:rFonts w:ascii="楷体_GB2312"/>
        </w:rPr>
      </w:pPr>
      <w:r>
        <w:rPr>
          <w:rFonts w:hint="eastAsia" w:ascii="楷体_GB2312"/>
        </w:rPr>
        <w:t>（三）2021年部门预算编制情况</w:t>
      </w:r>
    </w:p>
    <w:p>
      <w:pPr>
        <w:spacing w:line="580" w:lineRule="exact"/>
        <w:ind w:firstLine="643" w:firstLineChars="200"/>
        <w:rPr>
          <w:rFonts w:ascii="仿宋_GB2312"/>
          <w:b/>
          <w:bCs/>
        </w:rPr>
      </w:pPr>
      <w:r>
        <w:rPr>
          <w:rFonts w:hint="eastAsia" w:ascii="仿宋_GB2312"/>
          <w:b/>
          <w:bCs/>
        </w:rPr>
        <w:t>1.预算编制规范合理</w:t>
      </w:r>
    </w:p>
    <w:p>
      <w:pPr>
        <w:snapToGrid w:val="0"/>
        <w:spacing w:line="580" w:lineRule="exact"/>
        <w:ind w:firstLine="640" w:firstLineChars="200"/>
        <w:rPr>
          <w:rFonts w:ascii="仿宋_GB2312" w:hAnsi="仿宋_GB2312" w:cs="仿宋_GB2312"/>
        </w:rPr>
      </w:pPr>
      <w:r>
        <w:rPr>
          <w:rFonts w:hint="eastAsia" w:ascii="仿宋_GB2312" w:hAnsi="仿宋_GB2312" w:cs="仿宋_GB2312"/>
          <w:szCs w:val="32"/>
        </w:rPr>
        <w:t>中心严格按照</w:t>
      </w:r>
      <w:r>
        <w:rPr>
          <w:rFonts w:hint="eastAsia" w:ascii="仿宋_GB2312" w:hAnsi="仿宋_GB2312" w:cs="仿宋_GB2312"/>
        </w:rPr>
        <w:t>区财政部门有关要求，及时开展</w:t>
      </w:r>
      <w:r>
        <w:rPr>
          <w:rFonts w:hint="eastAsia" w:ascii="仿宋_GB2312" w:hAnsi="仿宋_GB2312" w:cs="仿宋_GB2312"/>
          <w:szCs w:val="32"/>
        </w:rPr>
        <w:t>2021年度预算编制工作。在预算编制过程中，中心依据部门</w:t>
      </w:r>
      <w:r>
        <w:rPr>
          <w:rFonts w:hint="eastAsia" w:ascii="仿宋_GB2312" w:hAnsi="仿宋_GB2312" w:cs="仿宋_GB2312"/>
        </w:rPr>
        <w:t>职能，结合年度工作计划，完整、合规编制各类预算支出，确保预算资金在不同项目、不同用途之间合理分配，各项支出的功能分类和经济分类编制准确。同时，中心遵照“二上二下”预算编审程序，按照区财政部门规定的格式、时限上报，确保预算格式规范、报送及时。</w:t>
      </w:r>
    </w:p>
    <w:p>
      <w:pPr>
        <w:spacing w:line="580" w:lineRule="exact"/>
        <w:ind w:firstLine="643" w:firstLineChars="200"/>
        <w:rPr>
          <w:rFonts w:ascii="仿宋_GB2312"/>
          <w:b/>
          <w:bCs/>
        </w:rPr>
      </w:pPr>
      <w:r>
        <w:rPr>
          <w:rFonts w:hint="eastAsia" w:ascii="仿宋_GB2312"/>
          <w:b/>
          <w:bCs/>
        </w:rPr>
        <w:t>2</w:t>
      </w:r>
      <w:r>
        <w:rPr>
          <w:rFonts w:ascii="仿宋_GB2312"/>
          <w:b/>
          <w:bCs/>
        </w:rPr>
        <w:t>.</w:t>
      </w:r>
      <w:r>
        <w:rPr>
          <w:rFonts w:hint="eastAsia" w:ascii="仿宋_GB2312"/>
          <w:b/>
          <w:bCs/>
        </w:rPr>
        <w:t>绩效目标设置清晰明确</w:t>
      </w:r>
    </w:p>
    <w:p>
      <w:pPr>
        <w:snapToGrid w:val="0"/>
        <w:spacing w:line="580" w:lineRule="exact"/>
        <w:ind w:firstLine="640" w:firstLineChars="200"/>
        <w:rPr>
          <w:rFonts w:ascii="仿宋_GB2312" w:hAnsi="仿宋_GB2312" w:cs="仿宋_GB2312"/>
          <w:szCs w:val="32"/>
        </w:rPr>
      </w:pPr>
      <w:r>
        <w:rPr>
          <w:rFonts w:hint="eastAsia" w:ascii="仿宋_GB2312" w:hAnsi="仿宋_GB2312" w:cs="仿宋_GB2312"/>
          <w:szCs w:val="32"/>
        </w:rPr>
        <w:t>中心在编制部门预算的过程中，同步编制部门整体和项目绩效目标，实现绩效目标全覆盖。绩效指标将部门整体绩效目标细化分解为具体工作任务，与部门年度任务相对应，能够体现中心履职效果，绩效指标明确、清晰、细化，可量化考核，绩效目标的目标值测算符合实际情况。然而，中心2</w:t>
      </w:r>
      <w:r>
        <w:rPr>
          <w:rFonts w:ascii="仿宋_GB2312" w:hAnsi="仿宋_GB2312" w:cs="仿宋_GB2312"/>
          <w:szCs w:val="32"/>
        </w:rPr>
        <w:t>021</w:t>
      </w:r>
      <w:r>
        <w:rPr>
          <w:rFonts w:hint="eastAsia" w:ascii="仿宋_GB2312" w:hAnsi="仿宋_GB2312" w:cs="仿宋_GB2312"/>
          <w:szCs w:val="32"/>
        </w:rPr>
        <w:t>年度部门整体绩效目标表中，未完整设定效益目标，难以体现中心年度效益预期，难以评价中心年度履职的效益达成情况。</w:t>
      </w:r>
    </w:p>
    <w:p>
      <w:pPr>
        <w:pStyle w:val="3"/>
        <w:ind w:firstLine="643"/>
        <w:rPr>
          <w:rFonts w:ascii="楷体_GB2312"/>
        </w:rPr>
      </w:pPr>
      <w:r>
        <w:rPr>
          <w:rFonts w:hint="eastAsia" w:ascii="楷体_GB2312"/>
        </w:rPr>
        <w:t>（四）2021年部门预算执行情况</w:t>
      </w:r>
    </w:p>
    <w:p>
      <w:pPr>
        <w:snapToGrid w:val="0"/>
        <w:spacing w:line="580" w:lineRule="exact"/>
        <w:ind w:firstLine="640" w:firstLineChars="200"/>
        <w:rPr>
          <w:rFonts w:ascii="仿宋_GB2312" w:hAnsi="楷体_GB2312" w:cs="楷体_GB2312"/>
          <w:bCs/>
          <w:szCs w:val="32"/>
        </w:rPr>
      </w:pPr>
      <w:r>
        <w:rPr>
          <w:rFonts w:hint="eastAsia" w:ascii="仿宋_GB2312" w:hAnsi="楷体_GB2312" w:cs="楷体_GB2312"/>
          <w:bCs/>
          <w:szCs w:val="32"/>
        </w:rPr>
        <w:t>2</w:t>
      </w:r>
      <w:r>
        <w:rPr>
          <w:rFonts w:ascii="仿宋_GB2312" w:hAnsi="楷体_GB2312" w:cs="楷体_GB2312"/>
          <w:bCs/>
          <w:szCs w:val="32"/>
        </w:rPr>
        <w:t>021</w:t>
      </w:r>
      <w:r>
        <w:rPr>
          <w:rFonts w:hint="eastAsia" w:ascii="仿宋_GB2312" w:hAnsi="楷体_GB2312" w:cs="楷体_GB2312"/>
          <w:bCs/>
          <w:szCs w:val="32"/>
        </w:rPr>
        <w:t>年度，中心年初预算数为</w:t>
      </w:r>
      <w:r>
        <w:rPr>
          <w:rFonts w:ascii="仿宋_GB2312" w:hAnsi="楷体_GB2312" w:cs="楷体_GB2312"/>
          <w:bCs/>
          <w:szCs w:val="32"/>
        </w:rPr>
        <w:t>5,223.24</w:t>
      </w:r>
      <w:r>
        <w:rPr>
          <w:rFonts w:hint="eastAsia" w:ascii="仿宋_GB2312" w:hAnsi="楷体_GB2312" w:cs="楷体_GB2312"/>
          <w:bCs/>
          <w:szCs w:val="32"/>
        </w:rPr>
        <w:t>万元，调整后预算数为</w:t>
      </w:r>
      <w:r>
        <w:rPr>
          <w:rFonts w:ascii="仿宋_GB2312" w:hAnsi="楷体_GB2312" w:cs="楷体_GB2312"/>
          <w:bCs/>
          <w:szCs w:val="32"/>
        </w:rPr>
        <w:t>5,309.64</w:t>
      </w:r>
      <w:r>
        <w:rPr>
          <w:rFonts w:hint="eastAsia" w:ascii="仿宋_GB2312" w:hAnsi="楷体_GB2312" w:cs="楷体_GB2312"/>
          <w:bCs/>
          <w:szCs w:val="32"/>
        </w:rPr>
        <w:t>万元，全年实际支出数为</w:t>
      </w:r>
      <w:r>
        <w:rPr>
          <w:rFonts w:ascii="仿宋_GB2312" w:hAnsi="楷体_GB2312" w:cs="楷体_GB2312"/>
          <w:bCs/>
          <w:szCs w:val="32"/>
        </w:rPr>
        <w:t>5,221.93</w:t>
      </w:r>
      <w:r>
        <w:rPr>
          <w:rFonts w:hint="eastAsia" w:ascii="仿宋_GB2312" w:hAnsi="楷体_GB2312" w:cs="楷体_GB2312"/>
          <w:bCs/>
          <w:szCs w:val="32"/>
        </w:rPr>
        <w:t>万元，全年预算执行率为</w:t>
      </w:r>
      <w:r>
        <w:rPr>
          <w:rFonts w:ascii="仿宋_GB2312" w:hAnsi="楷体_GB2312" w:cs="楷体_GB2312"/>
          <w:bCs/>
          <w:szCs w:val="32"/>
        </w:rPr>
        <w:t>98.35%</w:t>
      </w:r>
      <w:r>
        <w:rPr>
          <w:rFonts w:hint="eastAsia" w:ascii="仿宋_GB2312" w:hAnsi="楷体_GB2312" w:cs="楷体_GB2312"/>
          <w:bCs/>
          <w:szCs w:val="32"/>
        </w:rPr>
        <w:t>，年度预算资金总体执行情况良好。</w:t>
      </w:r>
    </w:p>
    <w:p>
      <w:pPr>
        <w:pStyle w:val="4"/>
        <w:ind w:firstLine="643"/>
        <w:rPr>
          <w:rFonts w:ascii="仿宋_GB2312"/>
        </w:rPr>
      </w:pPr>
      <w:r>
        <w:rPr>
          <w:rFonts w:hint="eastAsia" w:ascii="仿宋_GB2312"/>
        </w:rPr>
        <w:t>1</w:t>
      </w:r>
      <w:r>
        <w:rPr>
          <w:rFonts w:ascii="仿宋_GB2312"/>
        </w:rPr>
        <w:t>.</w:t>
      </w:r>
      <w:r>
        <w:rPr>
          <w:rFonts w:hint="eastAsia" w:ascii="仿宋_GB2312"/>
        </w:rPr>
        <w:t>资金管理</w:t>
      </w:r>
    </w:p>
    <w:p>
      <w:pPr>
        <w:snapToGrid w:val="0"/>
        <w:spacing w:line="580" w:lineRule="exact"/>
        <w:ind w:firstLine="643" w:firstLineChars="200"/>
        <w:rPr>
          <w:rFonts w:ascii="仿宋_GB2312" w:hAnsi="楷体_GB2312" w:cs="楷体_GB2312"/>
          <w:b/>
          <w:szCs w:val="32"/>
        </w:rPr>
      </w:pPr>
      <w:r>
        <w:rPr>
          <w:rFonts w:hint="eastAsia" w:ascii="仿宋_GB2312" w:hAnsi="楷体_GB2312" w:cs="楷体_GB2312"/>
          <w:b/>
          <w:szCs w:val="32"/>
        </w:rPr>
        <w:t>一是政府采购执行情况。</w:t>
      </w:r>
    </w:p>
    <w:p>
      <w:pPr>
        <w:snapToGrid w:val="0"/>
        <w:spacing w:line="580" w:lineRule="exact"/>
        <w:ind w:firstLine="640" w:firstLineChars="200"/>
        <w:rPr>
          <w:rFonts w:ascii="仿宋_GB2312" w:hAnsi="楷体_GB2312" w:cs="楷体_GB2312"/>
          <w:bCs/>
          <w:szCs w:val="32"/>
        </w:rPr>
      </w:pPr>
      <w:r>
        <w:rPr>
          <w:rFonts w:hint="eastAsia" w:ascii="仿宋_GB2312" w:hAnsi="楷体_GB2312" w:cs="楷体_GB2312"/>
          <w:bCs/>
          <w:szCs w:val="32"/>
        </w:rPr>
        <w:t>2021年度，中心政府采购预算金额为</w:t>
      </w:r>
      <w:r>
        <w:rPr>
          <w:rFonts w:ascii="仿宋_GB2312" w:hAnsi="楷体_GB2312" w:cs="楷体_GB2312"/>
          <w:bCs/>
          <w:szCs w:val="32"/>
        </w:rPr>
        <w:t>266.24万元，</w:t>
      </w:r>
      <w:r>
        <w:rPr>
          <w:rFonts w:hint="eastAsia" w:ascii="仿宋_GB2312" w:hAnsi="楷体_GB2312" w:cs="楷体_GB2312"/>
          <w:bCs/>
          <w:szCs w:val="32"/>
        </w:rPr>
        <w:t>实际采购支出金额为</w:t>
      </w:r>
      <w:r>
        <w:rPr>
          <w:rFonts w:ascii="仿宋_GB2312" w:hAnsi="楷体_GB2312" w:cs="楷体_GB2312"/>
          <w:bCs/>
          <w:szCs w:val="32"/>
        </w:rPr>
        <w:t>215.59</w:t>
      </w:r>
      <w:r>
        <w:rPr>
          <w:rFonts w:hint="eastAsia" w:ascii="仿宋_GB2312" w:hAnsi="楷体_GB2312" w:cs="楷体_GB2312"/>
          <w:bCs/>
          <w:szCs w:val="32"/>
        </w:rPr>
        <w:t>万元，政府采购执行率为</w:t>
      </w:r>
      <w:r>
        <w:rPr>
          <w:rFonts w:ascii="仿宋_GB2312" w:hAnsi="楷体_GB2312" w:cs="楷体_GB2312"/>
          <w:bCs/>
          <w:szCs w:val="32"/>
        </w:rPr>
        <w:t>80.98</w:t>
      </w:r>
      <w:r>
        <w:rPr>
          <w:rFonts w:hint="eastAsia" w:ascii="仿宋_GB2312" w:hAnsi="楷体_GB2312" w:cs="楷体_GB2312"/>
          <w:bCs/>
          <w:szCs w:val="32"/>
        </w:rPr>
        <w:t>%。其中，货物类采购支出金额为</w:t>
      </w:r>
      <w:r>
        <w:rPr>
          <w:rFonts w:ascii="仿宋_GB2312" w:hAnsi="楷体_GB2312" w:cs="楷体_GB2312"/>
          <w:bCs/>
          <w:szCs w:val="32"/>
        </w:rPr>
        <w:t>38.70</w:t>
      </w:r>
      <w:r>
        <w:rPr>
          <w:rFonts w:hint="eastAsia" w:ascii="仿宋_GB2312" w:hAnsi="楷体_GB2312" w:cs="楷体_GB2312"/>
          <w:bCs/>
          <w:szCs w:val="32"/>
        </w:rPr>
        <w:t>万元，服务类采购支出金额为</w:t>
      </w:r>
      <w:r>
        <w:rPr>
          <w:rFonts w:ascii="仿宋_GB2312" w:hAnsi="楷体_GB2312" w:cs="楷体_GB2312"/>
          <w:bCs/>
          <w:szCs w:val="32"/>
        </w:rPr>
        <w:t>176.89</w:t>
      </w:r>
      <w:r>
        <w:rPr>
          <w:rFonts w:hint="eastAsia" w:ascii="仿宋_GB2312" w:hAnsi="楷体_GB2312" w:cs="楷体_GB2312"/>
          <w:bCs/>
          <w:szCs w:val="32"/>
        </w:rPr>
        <w:t>万元，各类采购均严格按照区政府采购管理要求及《深圳市福田区国库支付管理中心采购管理办法》有关规定合规开展。</w:t>
      </w:r>
    </w:p>
    <w:p>
      <w:pPr>
        <w:snapToGrid w:val="0"/>
        <w:spacing w:line="580" w:lineRule="exact"/>
        <w:ind w:firstLine="643" w:firstLineChars="200"/>
        <w:rPr>
          <w:rFonts w:ascii="仿宋_GB2312" w:hAnsi="楷体_GB2312" w:cs="楷体_GB2312"/>
          <w:b/>
          <w:szCs w:val="32"/>
        </w:rPr>
      </w:pPr>
      <w:r>
        <w:rPr>
          <w:rFonts w:hint="eastAsia" w:ascii="仿宋_GB2312" w:hAnsi="楷体_GB2312" w:cs="楷体_GB2312"/>
          <w:b/>
          <w:szCs w:val="32"/>
        </w:rPr>
        <w:t>二是预决算信息公开。</w:t>
      </w:r>
    </w:p>
    <w:p>
      <w:pPr>
        <w:snapToGrid w:val="0"/>
        <w:spacing w:line="560" w:lineRule="exact"/>
        <w:ind w:firstLine="640" w:firstLineChars="200"/>
        <w:rPr>
          <w:rFonts w:ascii="仿宋_GB2312" w:hAnsi="楷体_GB2312" w:cs="楷体_GB2312"/>
          <w:bCs/>
          <w:szCs w:val="32"/>
        </w:rPr>
      </w:pPr>
      <w:r>
        <w:rPr>
          <w:rFonts w:hint="eastAsia" w:ascii="仿宋_GB2312" w:hAnsi="楷体_GB2312" w:cs="楷体_GB2312"/>
          <w:bCs/>
          <w:szCs w:val="32"/>
        </w:rPr>
        <w:t>按照预决算信息公开的有关要求，中心于202</w:t>
      </w:r>
      <w:r>
        <w:rPr>
          <w:rFonts w:ascii="仿宋_GB2312" w:hAnsi="楷体_GB2312" w:cs="楷体_GB2312"/>
          <w:bCs/>
          <w:szCs w:val="32"/>
        </w:rPr>
        <w:t>1</w:t>
      </w:r>
      <w:r>
        <w:rPr>
          <w:rFonts w:hint="eastAsia" w:ascii="仿宋_GB2312" w:hAnsi="楷体_GB2312" w:cs="楷体_GB2312"/>
          <w:bCs/>
          <w:szCs w:val="32"/>
        </w:rPr>
        <w:t>年2月6日通过门户网站“法定主动公开内容-资金信息”栏向社会公开了《2021年深圳市福田区国库支付中心部门预算》，于202</w:t>
      </w:r>
      <w:r>
        <w:rPr>
          <w:rFonts w:ascii="仿宋_GB2312" w:hAnsi="楷体_GB2312" w:cs="楷体_GB2312"/>
          <w:bCs/>
          <w:szCs w:val="32"/>
        </w:rPr>
        <w:t>1</w:t>
      </w:r>
      <w:r>
        <w:rPr>
          <w:rFonts w:hint="eastAsia" w:ascii="仿宋_GB2312" w:hAnsi="楷体_GB2312" w:cs="楷体_GB2312"/>
          <w:bCs/>
          <w:szCs w:val="32"/>
        </w:rPr>
        <w:t>年</w:t>
      </w:r>
      <w:r>
        <w:rPr>
          <w:rFonts w:ascii="仿宋_GB2312" w:hAnsi="楷体_GB2312" w:cs="楷体_GB2312"/>
          <w:bCs/>
          <w:szCs w:val="32"/>
        </w:rPr>
        <w:t>12</w:t>
      </w:r>
      <w:r>
        <w:rPr>
          <w:rFonts w:hint="eastAsia" w:ascii="仿宋_GB2312" w:hAnsi="楷体_GB2312" w:cs="楷体_GB2312"/>
          <w:bCs/>
          <w:szCs w:val="32"/>
        </w:rPr>
        <w:t>月</w:t>
      </w:r>
      <w:r>
        <w:rPr>
          <w:rFonts w:ascii="仿宋_GB2312" w:hAnsi="楷体_GB2312" w:cs="楷体_GB2312"/>
          <w:bCs/>
          <w:szCs w:val="32"/>
        </w:rPr>
        <w:t>27</w:t>
      </w:r>
      <w:r>
        <w:rPr>
          <w:rFonts w:hint="eastAsia" w:ascii="仿宋_GB2312" w:hAnsi="楷体_GB2312" w:cs="楷体_GB2312"/>
          <w:bCs/>
          <w:szCs w:val="32"/>
        </w:rPr>
        <w:t>日通过深圳政府在线网站“政务公开”栏向社会公开了《福田区国库支付中心2020年度部门决算》，202</w:t>
      </w:r>
      <w:r>
        <w:rPr>
          <w:rFonts w:ascii="仿宋_GB2312" w:hAnsi="楷体_GB2312" w:cs="楷体_GB2312"/>
          <w:bCs/>
          <w:szCs w:val="32"/>
        </w:rPr>
        <w:t>1</w:t>
      </w:r>
      <w:r>
        <w:rPr>
          <w:rFonts w:hint="eastAsia" w:ascii="仿宋_GB2312" w:hAnsi="楷体_GB2312" w:cs="楷体_GB2312"/>
          <w:bCs/>
          <w:szCs w:val="32"/>
        </w:rPr>
        <w:t>年度部门决算信息将依据区财政部门有关文件要求进行公开。</w:t>
      </w:r>
    </w:p>
    <w:p>
      <w:pPr>
        <w:snapToGrid w:val="0"/>
        <w:spacing w:line="580" w:lineRule="exact"/>
        <w:ind w:firstLine="643" w:firstLineChars="200"/>
        <w:rPr>
          <w:rFonts w:ascii="仿宋_GB2312" w:hAnsi="楷体_GB2312" w:cs="楷体_GB2312"/>
          <w:b/>
          <w:szCs w:val="32"/>
        </w:rPr>
      </w:pPr>
      <w:r>
        <w:rPr>
          <w:rFonts w:hint="eastAsia" w:ascii="仿宋_GB2312" w:hAnsi="楷体_GB2312" w:cs="楷体_GB2312"/>
          <w:b/>
          <w:szCs w:val="32"/>
        </w:rPr>
        <w:t>三是财务合规性。</w:t>
      </w:r>
    </w:p>
    <w:p>
      <w:pPr>
        <w:snapToGrid w:val="0"/>
        <w:spacing w:line="580" w:lineRule="exact"/>
        <w:ind w:firstLine="640" w:firstLineChars="200"/>
        <w:rPr>
          <w:rFonts w:ascii="仿宋_GB2312" w:hAnsi="楷体_GB2312" w:cs="楷体_GB2312"/>
          <w:bCs/>
          <w:szCs w:val="32"/>
        </w:rPr>
      </w:pPr>
      <w:r>
        <w:rPr>
          <w:rFonts w:hint="eastAsia" w:ascii="仿宋_GB2312" w:hAnsi="楷体_GB2312" w:cs="楷体_GB2312"/>
          <w:bCs/>
          <w:szCs w:val="32"/>
        </w:rPr>
        <w:t>2</w:t>
      </w:r>
      <w:r>
        <w:rPr>
          <w:rFonts w:ascii="仿宋_GB2312" w:hAnsi="楷体_GB2312" w:cs="楷体_GB2312"/>
          <w:bCs/>
          <w:szCs w:val="32"/>
        </w:rPr>
        <w:t>021</w:t>
      </w:r>
      <w:r>
        <w:rPr>
          <w:rFonts w:hint="eastAsia" w:ascii="仿宋_GB2312" w:hAnsi="楷体_GB2312" w:cs="楷体_GB2312"/>
          <w:bCs/>
          <w:szCs w:val="32"/>
        </w:rPr>
        <w:t>年度，根据区财政部门下达的预算批复文件，中心</w:t>
      </w:r>
      <w:r>
        <w:rPr>
          <w:rFonts w:ascii="仿宋_GB2312" w:hAnsi="楷体_GB2312" w:cs="楷体_GB2312"/>
          <w:bCs/>
          <w:szCs w:val="32"/>
        </w:rPr>
        <w:t>严格按照预算批复的用途和额度使用</w:t>
      </w:r>
      <w:r>
        <w:rPr>
          <w:rFonts w:hint="eastAsia" w:ascii="仿宋_GB2312" w:hAnsi="楷体_GB2312" w:cs="楷体_GB2312"/>
          <w:bCs/>
          <w:szCs w:val="32"/>
        </w:rPr>
        <w:t>资金，并按照制度规定与工作实际支付资金，各类</w:t>
      </w:r>
      <w:r>
        <w:rPr>
          <w:rFonts w:ascii="仿宋_GB2312" w:hAnsi="宋体"/>
        </w:rPr>
        <w:t>支出</w:t>
      </w:r>
      <w:r>
        <w:rPr>
          <w:rFonts w:hint="eastAsia" w:ascii="仿宋_GB2312" w:hAnsi="宋体"/>
        </w:rPr>
        <w:t>程序合规、手续完备，</w:t>
      </w:r>
      <w:r>
        <w:rPr>
          <w:rFonts w:hint="eastAsia" w:ascii="仿宋_GB2312" w:hAnsi="楷体_GB2312" w:cs="楷体_GB2312"/>
          <w:bCs/>
          <w:szCs w:val="32"/>
        </w:rPr>
        <w:t>不存在超范围、超标准支出、不存在支出依据不合规、虚列项目支出及截留、挤占、挪用项目资金情况。</w:t>
      </w:r>
    </w:p>
    <w:p>
      <w:pPr>
        <w:snapToGrid w:val="0"/>
        <w:spacing w:line="580" w:lineRule="exact"/>
        <w:ind w:firstLine="640" w:firstLineChars="200"/>
        <w:rPr>
          <w:rFonts w:ascii="仿宋_GB2312" w:hAnsi="楷体_GB2312" w:cs="楷体_GB2312"/>
          <w:bCs/>
          <w:szCs w:val="32"/>
        </w:rPr>
      </w:pPr>
      <w:r>
        <w:rPr>
          <w:rFonts w:ascii="仿宋_GB2312" w:hAnsi="楷体_GB2312" w:cs="楷体_GB2312"/>
          <w:bCs/>
          <w:szCs w:val="32"/>
        </w:rPr>
        <w:t>2021</w:t>
      </w:r>
      <w:r>
        <w:rPr>
          <w:rFonts w:hint="eastAsia" w:ascii="仿宋_GB2312" w:hAnsi="楷体_GB2312" w:cs="楷体_GB2312"/>
          <w:bCs/>
          <w:szCs w:val="32"/>
        </w:rPr>
        <w:t>年度，中心年初预算数为</w:t>
      </w:r>
      <w:r>
        <w:rPr>
          <w:rFonts w:ascii="仿宋_GB2312" w:hAnsi="楷体_GB2312" w:cs="楷体_GB2312"/>
          <w:bCs/>
          <w:szCs w:val="32"/>
        </w:rPr>
        <w:t>5,223.24</w:t>
      </w:r>
      <w:r>
        <w:rPr>
          <w:rFonts w:hint="eastAsia" w:ascii="仿宋_GB2312" w:hAnsi="楷体_GB2312" w:cs="楷体_GB2312"/>
          <w:bCs/>
          <w:szCs w:val="32"/>
        </w:rPr>
        <w:t>万元，调整后预算数为</w:t>
      </w:r>
      <w:r>
        <w:rPr>
          <w:rFonts w:ascii="仿宋_GB2312" w:hAnsi="楷体_GB2312" w:cs="楷体_GB2312"/>
          <w:bCs/>
          <w:szCs w:val="32"/>
        </w:rPr>
        <w:t>5,309.64</w:t>
      </w:r>
      <w:r>
        <w:rPr>
          <w:rFonts w:hint="eastAsia" w:ascii="仿宋_GB2312" w:hAnsi="楷体_GB2312" w:cs="楷体_GB2312"/>
          <w:bCs/>
          <w:szCs w:val="32"/>
        </w:rPr>
        <w:t>万元，预算调整、调剂金额共计</w:t>
      </w:r>
      <w:r>
        <w:rPr>
          <w:rFonts w:ascii="仿宋_GB2312"/>
          <w:szCs w:val="32"/>
        </w:rPr>
        <w:t>86.4</w:t>
      </w:r>
      <w:r>
        <w:rPr>
          <w:rFonts w:hint="eastAsia" w:ascii="仿宋_GB2312" w:hAnsi="楷体_GB2312" w:cs="楷体_GB2312"/>
          <w:bCs/>
          <w:szCs w:val="32"/>
        </w:rPr>
        <w:t>万元，预算调整、调剂比率为</w:t>
      </w:r>
      <w:r>
        <w:rPr>
          <w:rFonts w:ascii="仿宋_GB2312" w:hAnsi="楷体_GB2312" w:cs="楷体_GB2312"/>
          <w:bCs/>
          <w:szCs w:val="32"/>
        </w:rPr>
        <w:t>1.65%</w:t>
      </w:r>
      <w:r>
        <w:rPr>
          <w:rFonts w:hint="eastAsia" w:ascii="仿宋_GB2312" w:hAnsi="楷体_GB2312" w:cs="楷体_GB2312"/>
          <w:bCs/>
          <w:szCs w:val="32"/>
        </w:rPr>
        <w:t>，未超出本单位部门预算总规模10%，资金调整调剂控制良好。</w:t>
      </w:r>
    </w:p>
    <w:p>
      <w:pPr>
        <w:pStyle w:val="4"/>
        <w:ind w:firstLine="643"/>
        <w:rPr>
          <w:rFonts w:ascii="仿宋_GB2312"/>
        </w:rPr>
      </w:pPr>
      <w:r>
        <w:rPr>
          <w:rFonts w:ascii="仿宋_GB2312"/>
        </w:rPr>
        <w:t>2.</w:t>
      </w:r>
      <w:r>
        <w:rPr>
          <w:rFonts w:hint="eastAsia" w:ascii="仿宋_GB2312"/>
        </w:rPr>
        <w:t>项目管理</w:t>
      </w:r>
    </w:p>
    <w:p>
      <w:pPr>
        <w:snapToGrid w:val="0"/>
        <w:spacing w:line="580" w:lineRule="exact"/>
        <w:ind w:firstLine="640" w:firstLineChars="200"/>
        <w:rPr>
          <w:rFonts w:ascii="仿宋_GB2312" w:hAnsi="楷体_GB2312" w:cs="楷体_GB2312"/>
          <w:bCs/>
          <w:szCs w:val="32"/>
        </w:rPr>
      </w:pPr>
      <w:r>
        <w:rPr>
          <w:rFonts w:ascii="仿宋_GB2312" w:hAnsi="楷体_GB2312" w:cs="楷体_GB2312"/>
          <w:bCs/>
          <w:szCs w:val="32"/>
        </w:rPr>
        <w:t>2021</w:t>
      </w:r>
      <w:r>
        <w:rPr>
          <w:rFonts w:hint="eastAsia" w:ascii="仿宋_GB2312" w:hAnsi="楷体_GB2312" w:cs="楷体_GB2312"/>
          <w:bCs/>
          <w:szCs w:val="32"/>
        </w:rPr>
        <w:t>年度，中心项目支出年初预算数为</w:t>
      </w:r>
      <w:r>
        <w:rPr>
          <w:rFonts w:ascii="仿宋_GB2312" w:hAnsi="楷体_GB2312" w:cs="楷体_GB2312"/>
          <w:bCs/>
          <w:szCs w:val="32"/>
        </w:rPr>
        <w:t>2,666.27</w:t>
      </w:r>
      <w:r>
        <w:rPr>
          <w:rFonts w:hint="eastAsia" w:ascii="仿宋_GB2312" w:hAnsi="楷体_GB2312" w:cs="楷体_GB2312"/>
          <w:bCs/>
          <w:szCs w:val="32"/>
        </w:rPr>
        <w:t>万元，调整后预算数为</w:t>
      </w:r>
      <w:r>
        <w:rPr>
          <w:rFonts w:ascii="仿宋_GB2312" w:hAnsi="楷体_GB2312" w:cs="楷体_GB2312"/>
          <w:bCs/>
          <w:szCs w:val="32"/>
        </w:rPr>
        <w:t>2,954.67</w:t>
      </w:r>
      <w:r>
        <w:rPr>
          <w:rFonts w:hint="eastAsia" w:ascii="仿宋_GB2312" w:hAnsi="楷体_GB2312" w:cs="楷体_GB2312"/>
          <w:bCs/>
          <w:szCs w:val="32"/>
        </w:rPr>
        <w:t>万元，实际支出数为</w:t>
      </w:r>
      <w:r>
        <w:rPr>
          <w:rFonts w:ascii="仿宋_GB2312" w:hAnsi="楷体_GB2312" w:cs="楷体_GB2312"/>
          <w:bCs/>
          <w:szCs w:val="32"/>
        </w:rPr>
        <w:t>2,898.03</w:t>
      </w:r>
      <w:r>
        <w:rPr>
          <w:rFonts w:hint="eastAsia" w:ascii="仿宋_GB2312" w:hAnsi="楷体_GB2312" w:cs="楷体_GB2312"/>
          <w:bCs/>
          <w:szCs w:val="32"/>
        </w:rPr>
        <w:t>万元，项目支出预算完成比例为</w:t>
      </w:r>
      <w:r>
        <w:rPr>
          <w:rFonts w:ascii="仿宋_GB2312" w:hAnsi="楷体_GB2312" w:cs="楷体_GB2312"/>
          <w:bCs/>
          <w:szCs w:val="32"/>
        </w:rPr>
        <w:t>98.08%。</w:t>
      </w:r>
    </w:p>
    <w:p>
      <w:pPr>
        <w:snapToGrid w:val="0"/>
        <w:spacing w:line="580" w:lineRule="exact"/>
        <w:ind w:firstLine="640" w:firstLineChars="200"/>
        <w:rPr>
          <w:rFonts w:ascii="仿宋_GB2312" w:hAnsi="楷体_GB2312" w:cs="楷体_GB2312"/>
          <w:bCs/>
          <w:szCs w:val="32"/>
          <w:highlight w:val="yellow"/>
        </w:rPr>
      </w:pPr>
      <w:r>
        <w:rPr>
          <w:rFonts w:hint="eastAsia" w:ascii="仿宋_GB2312" w:hAnsi="楷体_GB2312" w:cs="楷体_GB2312"/>
          <w:bCs/>
          <w:szCs w:val="32"/>
        </w:rPr>
        <w:t>中心各类项目的设立、申报均按内部管理制度履行报批程序，项目的招投标、建设、验收以及方案实施均严格按照相关规定执行。同时，中心建立了有效的资金管理和绩效运行监控机制，定期对项目预算执行进度进行分析，对项目资金支付进度、绩效目标达成情况开展绩效健康，及时纠偏，确保项目工作的顺利推进以及财政资金的安全运作。</w:t>
      </w:r>
    </w:p>
    <w:p>
      <w:pPr>
        <w:pStyle w:val="4"/>
        <w:ind w:firstLine="643"/>
        <w:rPr>
          <w:rFonts w:ascii="仿宋_GB2312"/>
        </w:rPr>
      </w:pPr>
      <w:r>
        <w:rPr>
          <w:rFonts w:hint="eastAsia" w:ascii="仿宋_GB2312"/>
        </w:rPr>
        <w:t>3</w:t>
      </w:r>
      <w:r>
        <w:rPr>
          <w:rFonts w:ascii="仿宋_GB2312"/>
        </w:rPr>
        <w:t>.</w:t>
      </w:r>
      <w:r>
        <w:rPr>
          <w:rFonts w:hint="eastAsia" w:ascii="仿宋_GB2312"/>
        </w:rPr>
        <w:t>资产管理</w:t>
      </w:r>
    </w:p>
    <w:p>
      <w:pPr>
        <w:snapToGrid w:val="0"/>
        <w:spacing w:line="560" w:lineRule="exact"/>
        <w:ind w:firstLine="640" w:firstLineChars="200"/>
        <w:rPr>
          <w:rFonts w:ascii="仿宋_GB2312" w:hAnsi="楷体_GB2312" w:cs="楷体_GB2312"/>
          <w:bCs/>
          <w:szCs w:val="32"/>
        </w:rPr>
      </w:pPr>
      <w:r>
        <w:rPr>
          <w:rFonts w:ascii="仿宋_GB2312" w:hAnsi="楷体_GB2312" w:cs="楷体_GB2312"/>
          <w:bCs/>
          <w:szCs w:val="32"/>
        </w:rPr>
        <w:t>2021</w:t>
      </w:r>
      <w:r>
        <w:rPr>
          <w:rFonts w:hint="eastAsia" w:ascii="仿宋_GB2312" w:hAnsi="楷体_GB2312" w:cs="楷体_GB2312"/>
          <w:bCs/>
          <w:szCs w:val="32"/>
        </w:rPr>
        <w:t>年末</w:t>
      </w:r>
      <w:r>
        <w:rPr>
          <w:rFonts w:ascii="仿宋_GB2312" w:hAnsi="楷体_GB2312" w:cs="楷体_GB2312"/>
          <w:bCs/>
          <w:szCs w:val="32"/>
        </w:rPr>
        <w:t>,</w:t>
      </w:r>
      <w:r>
        <w:rPr>
          <w:rFonts w:hint="eastAsia" w:ascii="仿宋_GB2312" w:hAnsi="楷体_GB2312" w:cs="楷体_GB2312"/>
          <w:bCs/>
          <w:szCs w:val="32"/>
        </w:rPr>
        <w:t>中心</w:t>
      </w:r>
      <w:r>
        <w:rPr>
          <w:rFonts w:ascii="仿宋_GB2312" w:hAnsi="楷体_GB2312" w:cs="楷体_GB2312"/>
          <w:bCs/>
          <w:szCs w:val="32"/>
        </w:rPr>
        <w:t>总资产1,168.08</w:t>
      </w:r>
      <w:r>
        <w:rPr>
          <w:rFonts w:hint="eastAsia" w:ascii="仿宋_GB2312" w:hAnsi="楷体_GB2312" w:cs="楷体_GB2312"/>
          <w:bCs/>
          <w:szCs w:val="32"/>
        </w:rPr>
        <w:t>万元，其中流动资产</w:t>
      </w:r>
      <w:r>
        <w:rPr>
          <w:rFonts w:ascii="仿宋_GB2312" w:hAnsi="楷体_GB2312" w:cs="楷体_GB2312"/>
          <w:bCs/>
          <w:szCs w:val="32"/>
        </w:rPr>
        <w:t>180.57</w:t>
      </w:r>
      <w:r>
        <w:rPr>
          <w:rFonts w:hint="eastAsia" w:ascii="仿宋_GB2312" w:hAnsi="楷体_GB2312" w:cs="楷体_GB2312"/>
          <w:bCs/>
          <w:szCs w:val="32"/>
        </w:rPr>
        <w:t>万元；固定资产原值</w:t>
      </w:r>
      <w:r>
        <w:rPr>
          <w:rFonts w:ascii="仿宋_GB2312" w:hAnsi="楷体_GB2312" w:cs="楷体_GB2312"/>
          <w:bCs/>
          <w:szCs w:val="32"/>
        </w:rPr>
        <w:t>1,691.46</w:t>
      </w:r>
      <w:r>
        <w:rPr>
          <w:rFonts w:hint="eastAsia" w:ascii="仿宋_GB2312" w:hAnsi="楷体_GB2312" w:cs="楷体_GB2312"/>
          <w:bCs/>
          <w:szCs w:val="32"/>
        </w:rPr>
        <w:t>万元，累计折旧</w:t>
      </w:r>
      <w:r>
        <w:rPr>
          <w:rFonts w:ascii="仿宋_GB2312" w:hAnsi="楷体_GB2312" w:cs="楷体_GB2312"/>
          <w:bCs/>
          <w:szCs w:val="32"/>
        </w:rPr>
        <w:t>1</w:t>
      </w:r>
      <w:r>
        <w:rPr>
          <w:rFonts w:hint="eastAsia" w:ascii="仿宋_GB2312" w:hAnsi="楷体_GB2312" w:cs="楷体_GB2312"/>
          <w:bCs/>
          <w:szCs w:val="32"/>
        </w:rPr>
        <w:t>,</w:t>
      </w:r>
      <w:r>
        <w:rPr>
          <w:rFonts w:ascii="仿宋_GB2312" w:hAnsi="楷体_GB2312" w:cs="楷体_GB2312"/>
          <w:bCs/>
          <w:szCs w:val="32"/>
        </w:rPr>
        <w:t>319.51</w:t>
      </w:r>
      <w:r>
        <w:rPr>
          <w:rFonts w:hint="eastAsia" w:ascii="仿宋_GB2312" w:hAnsi="楷体_GB2312" w:cs="楷体_GB2312"/>
          <w:bCs/>
          <w:szCs w:val="32"/>
        </w:rPr>
        <w:t>万元，固定资产净值</w:t>
      </w:r>
      <w:r>
        <w:rPr>
          <w:rFonts w:ascii="仿宋_GB2312" w:hAnsi="楷体_GB2312" w:cs="楷体_GB2312"/>
          <w:bCs/>
          <w:szCs w:val="32"/>
        </w:rPr>
        <w:t>371.95</w:t>
      </w:r>
      <w:r>
        <w:rPr>
          <w:rFonts w:hint="eastAsia" w:ascii="仿宋_GB2312" w:hAnsi="楷体_GB2312" w:cs="楷体_GB2312"/>
          <w:bCs/>
          <w:szCs w:val="32"/>
        </w:rPr>
        <w:t>万元；在建工程</w:t>
      </w:r>
      <w:r>
        <w:rPr>
          <w:rFonts w:ascii="仿宋_GB2312" w:hAnsi="楷体_GB2312" w:cs="楷体_GB2312"/>
          <w:bCs/>
          <w:szCs w:val="32"/>
        </w:rPr>
        <w:t>282.40</w:t>
      </w:r>
      <w:r>
        <w:rPr>
          <w:rFonts w:hint="eastAsia" w:ascii="仿宋_GB2312" w:hAnsi="楷体_GB2312" w:cs="楷体_GB2312"/>
          <w:bCs/>
          <w:szCs w:val="32"/>
        </w:rPr>
        <w:t>万元；无形资产原值</w:t>
      </w:r>
      <w:r>
        <w:rPr>
          <w:rFonts w:ascii="仿宋_GB2312" w:hAnsi="楷体_GB2312" w:cs="楷体_GB2312"/>
          <w:bCs/>
          <w:szCs w:val="32"/>
        </w:rPr>
        <w:t>341.08</w:t>
      </w:r>
      <w:r>
        <w:rPr>
          <w:rFonts w:hint="eastAsia" w:ascii="仿宋_GB2312" w:hAnsi="楷体_GB2312" w:cs="楷体_GB2312"/>
          <w:bCs/>
          <w:szCs w:val="32"/>
        </w:rPr>
        <w:t>万元，累计摊销</w:t>
      </w:r>
      <w:r>
        <w:rPr>
          <w:rFonts w:ascii="仿宋_GB2312" w:hAnsi="楷体_GB2312" w:cs="楷体_GB2312"/>
          <w:bCs/>
          <w:szCs w:val="32"/>
        </w:rPr>
        <w:t>7.92</w:t>
      </w:r>
      <w:r>
        <w:rPr>
          <w:rFonts w:hint="eastAsia" w:ascii="仿宋_GB2312" w:hAnsi="楷体_GB2312" w:cs="楷体_GB2312"/>
          <w:bCs/>
          <w:szCs w:val="32"/>
        </w:rPr>
        <w:t>万元，无形资产净值</w:t>
      </w:r>
      <w:r>
        <w:rPr>
          <w:rFonts w:ascii="仿宋_GB2312" w:hAnsi="楷体_GB2312" w:cs="楷体_GB2312"/>
          <w:bCs/>
          <w:szCs w:val="32"/>
        </w:rPr>
        <w:t>333.16</w:t>
      </w:r>
      <w:r>
        <w:rPr>
          <w:rFonts w:hint="eastAsia" w:ascii="仿宋_GB2312" w:hAnsi="楷体_GB2312" w:cs="楷体_GB2312"/>
          <w:bCs/>
          <w:szCs w:val="32"/>
        </w:rPr>
        <w:t>万元。</w:t>
      </w:r>
    </w:p>
    <w:p>
      <w:pPr>
        <w:snapToGrid w:val="0"/>
        <w:spacing w:line="580" w:lineRule="exact"/>
        <w:ind w:firstLine="640" w:firstLineChars="200"/>
        <w:rPr>
          <w:rFonts w:ascii="仿宋_GB2312"/>
          <w:color w:val="000000"/>
        </w:rPr>
      </w:pPr>
      <w:r>
        <w:rPr>
          <w:rFonts w:hint="eastAsia" w:ascii="仿宋_GB2312"/>
          <w:color w:val="000000"/>
        </w:rPr>
        <w:t>中心固定资产的管理和使用实行“统一领导、归口管理、分级负责、责任到人”的管理体制</w:t>
      </w:r>
      <w:r>
        <w:rPr>
          <w:rFonts w:hint="eastAsia" w:ascii="仿宋_GB2312" w:hAnsi="宋体"/>
          <w:color w:val="000000"/>
        </w:rPr>
        <w:t>。2</w:t>
      </w:r>
      <w:r>
        <w:rPr>
          <w:rFonts w:ascii="仿宋_GB2312" w:hAnsi="宋体"/>
          <w:color w:val="000000"/>
        </w:rPr>
        <w:t>021</w:t>
      </w:r>
      <w:r>
        <w:rPr>
          <w:rFonts w:hint="eastAsia" w:ascii="仿宋_GB2312" w:hAnsi="宋体"/>
          <w:color w:val="000000"/>
        </w:rPr>
        <w:t>年，中心</w:t>
      </w:r>
      <w:r>
        <w:rPr>
          <w:rFonts w:hint="eastAsia" w:ascii="仿宋_GB2312"/>
          <w:color w:val="000000"/>
        </w:rPr>
        <w:t>固定资产配置符合规定标准，配置合理、保管完整，账实相符，固定资产利用率达到</w:t>
      </w:r>
      <w:r>
        <w:rPr>
          <w:rFonts w:ascii="仿宋_GB2312"/>
          <w:color w:val="000000"/>
        </w:rPr>
        <w:t>88.44%</w:t>
      </w:r>
      <w:r>
        <w:rPr>
          <w:rFonts w:hint="eastAsia" w:ascii="仿宋_GB2312"/>
          <w:color w:val="000000"/>
        </w:rPr>
        <w:t>，资产处置规范，</w:t>
      </w:r>
      <w:r>
        <w:rPr>
          <w:rFonts w:hint="eastAsia" w:ascii="仿宋_GB2312" w:hAnsi="楷体_GB2312" w:cs="楷体_GB2312"/>
          <w:bCs/>
          <w:szCs w:val="32"/>
        </w:rPr>
        <w:t>达到处置条件的资产均按规定履行资产处置程序，资产处置收入按照“收支两条线”原则及时足额上缴。</w:t>
      </w:r>
    </w:p>
    <w:p>
      <w:pPr>
        <w:pStyle w:val="4"/>
        <w:ind w:firstLine="643"/>
        <w:rPr>
          <w:rFonts w:ascii="仿宋_GB2312"/>
        </w:rPr>
      </w:pPr>
      <w:r>
        <w:rPr>
          <w:rFonts w:hint="eastAsia" w:ascii="仿宋_GB2312"/>
        </w:rPr>
        <w:t>4</w:t>
      </w:r>
      <w:r>
        <w:rPr>
          <w:rFonts w:ascii="仿宋_GB2312"/>
        </w:rPr>
        <w:t>.</w:t>
      </w:r>
      <w:r>
        <w:rPr>
          <w:rFonts w:hint="eastAsia" w:ascii="仿宋_GB2312"/>
        </w:rPr>
        <w:t>人员管理</w:t>
      </w:r>
    </w:p>
    <w:p>
      <w:pPr>
        <w:snapToGrid w:val="0"/>
        <w:spacing w:line="560" w:lineRule="exact"/>
        <w:ind w:firstLine="640" w:firstLineChars="200"/>
        <w:rPr>
          <w:rFonts w:ascii="仿宋_GB2312" w:hAnsi="楷体_GB2312" w:cs="楷体_GB2312"/>
          <w:bCs/>
          <w:szCs w:val="32"/>
        </w:rPr>
      </w:pPr>
      <w:r>
        <w:rPr>
          <w:rFonts w:hint="eastAsia" w:ascii="仿宋_GB2312" w:hAnsi="楷体_GB2312" w:cs="楷体_GB2312"/>
          <w:bCs/>
          <w:szCs w:val="32"/>
        </w:rPr>
        <w:t>中心事业编制总数67人，</w:t>
      </w:r>
      <w:r>
        <w:rPr>
          <w:rFonts w:hint="eastAsia" w:ascii="仿宋_GB2312"/>
          <w:szCs w:val="32"/>
        </w:rPr>
        <w:t>2021年末实有在职在编人数</w:t>
      </w:r>
      <w:r>
        <w:rPr>
          <w:rFonts w:ascii="仿宋_GB2312"/>
          <w:szCs w:val="32"/>
        </w:rPr>
        <w:t>52</w:t>
      </w:r>
      <w:r>
        <w:rPr>
          <w:rFonts w:hint="eastAsia" w:ascii="仿宋_GB2312"/>
          <w:szCs w:val="32"/>
        </w:rPr>
        <w:t>人</w:t>
      </w:r>
      <w:r>
        <w:rPr>
          <w:rFonts w:hint="eastAsia" w:ascii="仿宋_GB2312" w:hAnsi="楷体_GB2312" w:cs="楷体_GB2312"/>
          <w:bCs/>
          <w:szCs w:val="32"/>
        </w:rPr>
        <w:t>，财政政供养人员控制率为</w:t>
      </w:r>
      <w:r>
        <w:rPr>
          <w:rFonts w:ascii="仿宋_GB2312" w:hAnsi="楷体_GB2312" w:cs="楷体_GB2312"/>
          <w:bCs/>
          <w:szCs w:val="32"/>
        </w:rPr>
        <w:t>77.61%</w:t>
      </w:r>
      <w:r>
        <w:rPr>
          <w:rFonts w:hint="eastAsia" w:ascii="仿宋_GB2312" w:hAnsi="楷体_GB2312" w:cs="楷体_GB2312"/>
          <w:bCs/>
          <w:szCs w:val="32"/>
        </w:rPr>
        <w:t>，不存在超编超员的情况。</w:t>
      </w:r>
    </w:p>
    <w:p>
      <w:pPr>
        <w:snapToGrid w:val="0"/>
        <w:spacing w:line="560" w:lineRule="exact"/>
        <w:ind w:firstLine="640" w:firstLineChars="200"/>
        <w:rPr>
          <w:rFonts w:ascii="仿宋_GB2312" w:hAnsi="楷体_GB2312" w:cs="楷体_GB2312"/>
          <w:bCs/>
          <w:szCs w:val="32"/>
        </w:rPr>
      </w:pPr>
      <w:r>
        <w:rPr>
          <w:rFonts w:hint="eastAsia" w:ascii="仿宋_GB2312" w:hAnsi="楷体_GB2312" w:cs="楷体_GB2312"/>
          <w:bCs/>
          <w:szCs w:val="32"/>
        </w:rPr>
        <w:t>中心2</w:t>
      </w:r>
      <w:r>
        <w:rPr>
          <w:rFonts w:ascii="仿宋_GB2312" w:hAnsi="楷体_GB2312" w:cs="楷体_GB2312"/>
          <w:bCs/>
          <w:szCs w:val="32"/>
        </w:rPr>
        <w:t>021</w:t>
      </w:r>
      <w:r>
        <w:rPr>
          <w:rFonts w:hint="eastAsia" w:ascii="仿宋_GB2312" w:hAnsi="楷体_GB2312" w:cs="楷体_GB2312"/>
          <w:bCs/>
          <w:szCs w:val="32"/>
        </w:rPr>
        <w:t>年末雇员9人、劳务派遣人员36人，编外人员控制率为</w:t>
      </w:r>
      <w:r>
        <w:rPr>
          <w:rFonts w:ascii="仿宋_GB2312" w:hAnsi="楷体_GB2312" w:cs="楷体_GB2312"/>
          <w:bCs/>
          <w:szCs w:val="32"/>
        </w:rPr>
        <w:t>37.11%</w:t>
      </w:r>
      <w:r>
        <w:rPr>
          <w:rFonts w:hint="eastAsia" w:ascii="仿宋_GB2312" w:hAnsi="楷体_GB2312" w:cs="楷体_GB2312"/>
          <w:bCs/>
          <w:szCs w:val="32"/>
        </w:rPr>
        <w:t>，编外人员控制有待加强。</w:t>
      </w:r>
    </w:p>
    <w:p>
      <w:pPr>
        <w:pStyle w:val="4"/>
        <w:ind w:firstLine="643"/>
        <w:rPr>
          <w:rFonts w:ascii="仿宋_GB2312"/>
        </w:rPr>
      </w:pPr>
      <w:r>
        <w:rPr>
          <w:rFonts w:hint="eastAsia" w:ascii="仿宋_GB2312"/>
        </w:rPr>
        <w:t>5</w:t>
      </w:r>
      <w:r>
        <w:rPr>
          <w:rFonts w:ascii="仿宋_GB2312"/>
        </w:rPr>
        <w:t>.</w:t>
      </w:r>
      <w:r>
        <w:rPr>
          <w:rFonts w:hint="eastAsia" w:ascii="仿宋_GB2312"/>
        </w:rPr>
        <w:t>制度管理</w:t>
      </w:r>
    </w:p>
    <w:p>
      <w:pPr>
        <w:snapToGrid w:val="0"/>
        <w:spacing w:line="560" w:lineRule="exact"/>
        <w:ind w:firstLine="640" w:firstLineChars="200"/>
        <w:rPr>
          <w:rFonts w:ascii="仿宋_GB2312" w:hAnsi="楷体_GB2312" w:cs="楷体_GB2312"/>
          <w:bCs/>
          <w:szCs w:val="32"/>
        </w:rPr>
      </w:pPr>
      <w:r>
        <w:rPr>
          <w:rFonts w:hint="eastAsia" w:ascii="仿宋_GB2312" w:hAnsi="楷体_GB2312" w:cs="楷体_GB2312"/>
          <w:bCs/>
          <w:szCs w:val="32"/>
        </w:rPr>
        <w:t>中心制定了《深圳市福田区国库支付中心工作制度汇编》，制度汇编中包含会议管理、文秘管理、印章管理、档案管理、综合协调与日常政务管理、后勤管理、安全保卫管理、信访工作管理等行政类管理制度，岗位设置及聘用管理、考评绩效管理、教育培训管理、考勤和请休假管理、轮岗与交接管理等人事劳资管理制度，预算管理、收支管理、采购管理、资产管理、合同管理等财务管理制度，明确了各项业务工作的具体内容、程序等，确保制度设计有效。此外，中心发布了《福田区国库支付管理中心经济活动流程操作手册》，操作手册中包含预算管理、支出管理、采购管理、合同管理、资产管理等流程图，直观、清晰地体现了业务工作步骤，为实际工作提供了有效指引。</w:t>
      </w:r>
    </w:p>
    <w:p>
      <w:pPr>
        <w:pStyle w:val="2"/>
        <w:ind w:firstLine="640"/>
      </w:pPr>
      <w:r>
        <w:rPr>
          <w:rFonts w:hint="eastAsia"/>
        </w:rPr>
        <w:t>二、部门主要履职绩效分析</w:t>
      </w:r>
    </w:p>
    <w:p>
      <w:pPr>
        <w:pStyle w:val="3"/>
        <w:ind w:firstLine="643"/>
      </w:pPr>
      <w:r>
        <w:rPr>
          <w:rFonts w:hint="eastAsia"/>
        </w:rPr>
        <w:t>（一）主要履职目标</w:t>
      </w:r>
    </w:p>
    <w:p>
      <w:pPr>
        <w:snapToGrid w:val="0"/>
        <w:spacing w:line="580" w:lineRule="exact"/>
        <w:ind w:firstLine="640" w:firstLineChars="200"/>
        <w:rPr>
          <w:rFonts w:ascii="仿宋_GB2312" w:hAnsi="楷体_GB2312" w:cs="楷体_GB2312"/>
          <w:szCs w:val="32"/>
        </w:rPr>
      </w:pPr>
      <w:r>
        <w:rPr>
          <w:rFonts w:hint="eastAsia" w:ascii="仿宋_GB2312" w:hAnsi="楷体_GB2312" w:cs="楷体_GB2312"/>
          <w:szCs w:val="32"/>
        </w:rPr>
        <w:t>中心全面落实区委区政府各项决策部署，紧紧围绕树标杆、提品质、转作风，追求卓越，先行先试，狠抓落实，进一步加大对财政资金的监管力度，强化源头治理，坚持改革创新，积极探索信息共享方式，在提高财政资金的使用效益方面发挥积极作用，为福田新30年大发展提供专业化财务服务，为全区各领域蓬勃发展提供坚实基础，助力福田在新时代高质量发展的大潮中走在前列、先行示范。</w:t>
      </w:r>
    </w:p>
    <w:p>
      <w:pPr>
        <w:pStyle w:val="3"/>
        <w:ind w:firstLine="643"/>
      </w:pPr>
      <w:r>
        <w:rPr>
          <w:rFonts w:hint="eastAsia"/>
        </w:rPr>
        <w:t>（二）主要履职情况</w:t>
      </w:r>
    </w:p>
    <w:p>
      <w:pPr>
        <w:spacing w:line="580" w:lineRule="exact"/>
        <w:ind w:firstLine="640" w:firstLineChars="200"/>
        <w:rPr>
          <w:rFonts w:ascii="仿宋_GB2312" w:hAnsi="仿宋_GB2312" w:cs="仿宋_GB2312"/>
          <w:szCs w:val="32"/>
        </w:rPr>
      </w:pPr>
      <w:r>
        <w:rPr>
          <w:rFonts w:hint="eastAsia" w:ascii="仿宋_GB2312" w:hAnsi="仿宋_GB2312" w:cs="仿宋_GB2312"/>
          <w:szCs w:val="32"/>
        </w:rPr>
        <w:t>2021年，中心不断增强责任意识和服务意识，认真履行国库集中支付和会计集中核算职能，采取多项措施拓展支付核算工作新局面。全年预计核算资金总额597亿元,其中核算收入资金302亿元,核算支出资金295亿元；预计全年完成国库直接支付33080笔，直接支付金额185亿元，有力地保障了区委区政府及各街道、部门重点工作的顺利开展。具体来讲，有如下几个方面的突出亮点：</w:t>
      </w:r>
    </w:p>
    <w:p>
      <w:pPr>
        <w:spacing w:line="580" w:lineRule="exact"/>
        <w:ind w:firstLine="643" w:firstLineChars="200"/>
        <w:rPr>
          <w:rFonts w:ascii="仿宋_GB2312" w:hAnsi="仿宋_GB2312" w:cs="仿宋_GB2312"/>
          <w:b/>
          <w:bCs/>
          <w:szCs w:val="32"/>
        </w:rPr>
      </w:pPr>
      <w:r>
        <w:rPr>
          <w:rFonts w:hint="eastAsia" w:ascii="仿宋_GB2312" w:hAnsi="仿宋_GB2312" w:cs="仿宋_GB2312"/>
          <w:b/>
          <w:bCs/>
          <w:szCs w:val="32"/>
        </w:rPr>
        <w:t>1</w:t>
      </w:r>
      <w:r>
        <w:rPr>
          <w:rFonts w:ascii="仿宋_GB2312" w:hAnsi="仿宋_GB2312" w:cs="仿宋_GB2312"/>
          <w:b/>
          <w:bCs/>
          <w:szCs w:val="32"/>
        </w:rPr>
        <w:t>.</w:t>
      </w:r>
      <w:r>
        <w:rPr>
          <w:rFonts w:hint="eastAsia" w:ascii="仿宋_GB2312" w:hAnsi="仿宋_GB2312" w:cs="仿宋_GB2312"/>
          <w:b/>
          <w:bCs/>
          <w:szCs w:val="32"/>
        </w:rPr>
        <w:t>充分发挥党建引领作用</w:t>
      </w:r>
    </w:p>
    <w:p>
      <w:pPr>
        <w:spacing w:line="580" w:lineRule="exact"/>
        <w:ind w:firstLine="643" w:firstLineChars="200"/>
        <w:rPr>
          <w:rFonts w:ascii="仿宋_GB2312" w:hAnsi="仿宋_GB2312" w:cs="仿宋_GB2312"/>
          <w:szCs w:val="32"/>
        </w:rPr>
      </w:pPr>
      <w:r>
        <w:rPr>
          <w:rFonts w:hint="eastAsia" w:ascii="仿宋_GB2312" w:hAnsi="仿宋_GB2312" w:cs="仿宋_GB2312"/>
          <w:b/>
          <w:bCs/>
          <w:szCs w:val="32"/>
        </w:rPr>
        <w:t>一是始终加强政治建设。</w:t>
      </w:r>
      <w:r>
        <w:rPr>
          <w:rFonts w:hint="eastAsia" w:ascii="仿宋_GB2312" w:hAnsi="仿宋_GB2312" w:cs="仿宋_GB2312"/>
          <w:szCs w:val="32"/>
        </w:rPr>
        <w:t>坚定不移推动全面从严治党向纵深拓展，夯实党风廉政建设和意识形态工作建设根基，切实提升党建引领效力，充分发挥党组织战斗堡垒和党员先锋模范作用。以打造模范机关为目标，把握方向、围绕中心、服务大局，以更高站位、更宽视野、更大格局，协调统筹推进各项工作实施。2021年中心机关党委荣获“福田区直属机关先进基层党组织”荣誉称号。</w:t>
      </w:r>
    </w:p>
    <w:p>
      <w:pPr>
        <w:spacing w:line="580" w:lineRule="exact"/>
        <w:ind w:firstLine="643" w:firstLineChars="200"/>
        <w:rPr>
          <w:rFonts w:ascii="仿宋_GB2312" w:hAnsi="仿宋_GB2312" w:cs="仿宋_GB2312"/>
          <w:szCs w:val="32"/>
        </w:rPr>
      </w:pPr>
      <w:r>
        <w:rPr>
          <w:rFonts w:hint="eastAsia" w:ascii="仿宋_GB2312" w:hAnsi="仿宋_GB2312" w:cs="仿宋_GB2312"/>
          <w:b/>
          <w:bCs/>
          <w:szCs w:val="32"/>
        </w:rPr>
        <w:t>二是严格落实理论学习。</w:t>
      </w:r>
      <w:r>
        <w:rPr>
          <w:rFonts w:hint="eastAsia" w:ascii="仿宋_GB2312" w:hAnsi="仿宋_GB2312" w:cs="仿宋_GB2312"/>
          <w:szCs w:val="32"/>
        </w:rPr>
        <w:t>把学习贯彻落实习近平总书记系列重要讲话和重要指示批示精神、党中央各项决策部署作为头等大事和首要政治任务，在学懂弄通做实习近平新时代中国特色社会主义思想上下功夫，推进“第一议题”学习常态化制度化。扎实开展党史学习教育，今年以来已召开学习活动22次。开展“我为群众办实事”调研实践，深化“大学习、深调研、真落实”活动，做到学习教育入脑入心，学</w:t>
      </w:r>
      <w:bookmarkStart w:id="1" w:name="_GoBack"/>
      <w:bookmarkEnd w:id="1"/>
      <w:r>
        <w:rPr>
          <w:rFonts w:hint="eastAsia" w:ascii="仿宋_GB2312" w:hAnsi="仿宋_GB2312" w:cs="仿宋_GB2312"/>
          <w:szCs w:val="32"/>
        </w:rPr>
        <w:t>习成效全面转化。始终保持思想的先进性和纯洁性。</w:t>
      </w:r>
    </w:p>
    <w:p>
      <w:pPr>
        <w:spacing w:line="580" w:lineRule="exact"/>
        <w:ind w:firstLine="643" w:firstLineChars="200"/>
        <w:rPr>
          <w:rFonts w:ascii="仿宋_GB2312" w:hAnsi="仿宋_GB2312" w:cs="仿宋_GB2312"/>
          <w:szCs w:val="32"/>
        </w:rPr>
      </w:pPr>
      <w:r>
        <w:rPr>
          <w:rFonts w:hint="eastAsia" w:ascii="仿宋_GB2312" w:hAnsi="仿宋_GB2312" w:cs="仿宋_GB2312"/>
          <w:b/>
          <w:bCs/>
          <w:szCs w:val="32"/>
        </w:rPr>
        <w:t>三是</w:t>
      </w:r>
      <w:r>
        <w:rPr>
          <w:rFonts w:hint="eastAsia" w:ascii="仿宋_GB2312" w:hAnsi="仿宋_GB2312" w:cs="仿宋_GB2312"/>
          <w:szCs w:val="32"/>
        </w:rPr>
        <w:t>主动响应重大任务。中心党组坚决贯彻区委区政府各项工作部署，以高站位积极配合上级重点工作要求，充分发挥党组织战斗堡垒和党员先锋模范作用，鼓励党员干部主动担当作为，参与到福田各项重点工作任务中去。2021年6月先后两次抽调人员赴福保街道参与抗疫工作，共计160余人次。截至目前，中心仍有7名同志分别被抽调至香蜜二村棚改项目、疫情防控、金融专班、药监中心、乡村振兴等专项工作组。</w:t>
      </w:r>
    </w:p>
    <w:p>
      <w:pPr>
        <w:spacing w:line="580" w:lineRule="exact"/>
        <w:ind w:firstLine="643" w:firstLineChars="200"/>
        <w:rPr>
          <w:rFonts w:ascii="仿宋_GB2312" w:hAnsi="仿宋_GB2312" w:cs="仿宋_GB2312"/>
          <w:b/>
          <w:bCs/>
          <w:szCs w:val="32"/>
        </w:rPr>
      </w:pPr>
      <w:r>
        <w:rPr>
          <w:rFonts w:hint="eastAsia" w:ascii="仿宋_GB2312" w:hAnsi="仿宋_GB2312" w:cs="仿宋_GB2312"/>
          <w:b/>
          <w:bCs/>
          <w:szCs w:val="32"/>
        </w:rPr>
        <w:t>2</w:t>
      </w:r>
      <w:r>
        <w:rPr>
          <w:rFonts w:ascii="仿宋_GB2312" w:hAnsi="仿宋_GB2312" w:cs="仿宋_GB2312"/>
          <w:b/>
          <w:bCs/>
          <w:szCs w:val="32"/>
        </w:rPr>
        <w:t>.</w:t>
      </w:r>
      <w:r>
        <w:rPr>
          <w:rFonts w:hint="eastAsia" w:ascii="仿宋_GB2312" w:hAnsi="仿宋_GB2312" w:cs="仿宋_GB2312"/>
          <w:b/>
          <w:bCs/>
          <w:szCs w:val="32"/>
        </w:rPr>
        <w:t>全面提升工作质量和服务水平</w:t>
      </w:r>
    </w:p>
    <w:p>
      <w:pPr>
        <w:spacing w:line="560" w:lineRule="exact"/>
        <w:ind w:firstLine="660"/>
        <w:rPr>
          <w:rFonts w:ascii="仿宋_GB2312" w:hAnsi="仿宋"/>
          <w:szCs w:val="32"/>
        </w:rPr>
      </w:pPr>
      <w:r>
        <w:rPr>
          <w:rFonts w:hint="eastAsia" w:ascii="仿宋_GB2312" w:hAnsi="仿宋" w:cs="仿宋"/>
          <w:b/>
          <w:bCs/>
          <w:szCs w:val="32"/>
        </w:rPr>
        <w:t>一是扎实做好支付核算工作。</w:t>
      </w:r>
      <w:r>
        <w:rPr>
          <w:rFonts w:hint="eastAsia" w:ascii="仿宋_GB2312" w:hAnsi="仿宋" w:cs="楷体"/>
          <w:szCs w:val="32"/>
        </w:rPr>
        <w:t>认真细致审核国库直接支付单据，保证国库支付工作的顺利进行。加强会计凭证的审核和检查，保证基础会计数据的准确记录和会计资料的真实完整，完成了凭证填制、审核、记账工作和会计报表的编制工作。推行复核岗全盘审核制、前台岗定期轮岗制等，制定内部工作流程清单，对业务处理进行再细化、再精准，并聚焦</w:t>
      </w:r>
      <w:r>
        <w:rPr>
          <w:rFonts w:hint="eastAsia" w:ascii="仿宋_GB2312" w:hAnsi="仿宋"/>
          <w:szCs w:val="32"/>
        </w:rPr>
        <w:t>重点项目，投入精兵强将，投入时间精力，研读规章制度，把好项目资金安全支付关。同时主动配合区委区政府各项重点工作，中心党组科学筹划、周密部署，在时间紧、任务重的情况下，多次组织人员加班加点，保质保量完成津补贴取数、在建工程转固等工作任务。</w:t>
      </w:r>
    </w:p>
    <w:p>
      <w:pPr>
        <w:spacing w:line="560" w:lineRule="exact"/>
        <w:ind w:firstLine="660"/>
        <w:rPr>
          <w:rFonts w:ascii="仿宋_GB2312" w:hAnsi="仿宋" w:cs="楷体"/>
          <w:szCs w:val="32"/>
        </w:rPr>
      </w:pPr>
      <w:r>
        <w:rPr>
          <w:rFonts w:hint="eastAsia" w:ascii="仿宋_GB2312" w:hAnsi="仿宋" w:cs="楷体"/>
          <w:b/>
          <w:bCs/>
          <w:szCs w:val="32"/>
        </w:rPr>
        <w:t>二是严把支付核算审核关口。</w:t>
      </w:r>
      <w:r>
        <w:rPr>
          <w:rFonts w:hint="eastAsia" w:ascii="仿宋_GB2312" w:hAnsi="仿宋" w:cs="楷体"/>
          <w:szCs w:val="32"/>
        </w:rPr>
        <w:t xml:space="preserve">按照部门预算要求，执行相关预算标准，并督促核算单位以预算指导会计核算。在全中心推广退单及风险提示函，在报账过程中规范财务票据，规范报账，截至2021年10月，提示金额已达到5550.47万元。在受理单位报账过程中，从原始凭证把关入手，做好源头监管，对不合规、不完整、应补充和更正的凭证予以退回，要求纠正和补充完整后方可报账，并向报账会计做好业务辅导工作。同时加强干部队伍专业素质建设，在单位内部开展专项稽核及相关业务培训工作，选派会计人员参与各类财务专业培训，提升人员专业素养，打造专精型会计专业人才。 </w:t>
      </w:r>
    </w:p>
    <w:p>
      <w:pPr>
        <w:spacing w:line="560" w:lineRule="exact"/>
        <w:ind w:firstLine="660"/>
        <w:rPr>
          <w:rFonts w:ascii="仿宋_GB2312" w:hAnsi="仿宋" w:cs="楷体"/>
          <w:szCs w:val="32"/>
        </w:rPr>
      </w:pPr>
      <w:r>
        <w:rPr>
          <w:rFonts w:hint="eastAsia" w:ascii="仿宋_GB2312" w:hAnsi="仿宋" w:cs="仿宋"/>
          <w:b/>
          <w:bCs/>
          <w:szCs w:val="32"/>
        </w:rPr>
        <w:t>三是为政府决策提供参考支持。</w:t>
      </w:r>
      <w:r>
        <w:rPr>
          <w:rFonts w:hint="eastAsia" w:ascii="仿宋_GB2312" w:hAnsi="仿宋" w:cs="仿宋"/>
          <w:szCs w:val="32"/>
        </w:rPr>
        <w:t>积极配合区纪委、区审计局调阅相关会计凭证资料，为巡察审计工作提供帮助支持。组织人员编写了</w:t>
      </w:r>
      <w:r>
        <w:rPr>
          <w:rFonts w:hint="eastAsia" w:ascii="仿宋_GB2312" w:hAnsi="仿宋" w:cs="楷体"/>
          <w:szCs w:val="32"/>
        </w:rPr>
        <w:t>《2020年福田区集中核算单位政府综合财务会计报告》、《2020年福田区集中核算单位政府综合预算会计报告》、《2020年福田区财政资金拨付分析报告》，对全区纳入集中核算单位2020年度财政收支、财务数据进行了汇总分析，总结预算收支情况，财政资金拨付具体情况，并对比分析了近五年的相关数据，为预算单位财务管理提出合理化建议，也为区领导及相关部门提供财务管理决策参考。</w:t>
      </w:r>
    </w:p>
    <w:p>
      <w:pPr>
        <w:spacing w:line="580" w:lineRule="exact"/>
        <w:ind w:firstLine="643" w:firstLineChars="200"/>
        <w:rPr>
          <w:rFonts w:ascii="仿宋_GB2312" w:hAnsi="仿宋_GB2312" w:cs="仿宋_GB2312"/>
          <w:szCs w:val="32"/>
        </w:rPr>
      </w:pPr>
      <w:r>
        <w:rPr>
          <w:rFonts w:hint="eastAsia" w:ascii="仿宋_GB2312" w:hAnsi="仿宋" w:cs="仿宋"/>
          <w:b/>
          <w:bCs/>
          <w:szCs w:val="32"/>
        </w:rPr>
        <w:t>四是持续开展“提质增效计划”。</w:t>
      </w:r>
      <w:r>
        <w:rPr>
          <w:rFonts w:hint="eastAsia" w:ascii="仿宋_GB2312" w:hAnsi="仿宋" w:cs="楷体"/>
          <w:szCs w:val="32"/>
        </w:rPr>
        <w:t>以业务问题为导向，中心党组组织专人重新修订《会计工作指引》，优化了中心集中支付与会计核算的工作质效；“我为群众办实事”走访调研期间，悉心收听服务单位的意见建议，针对其提出的会计档案借阅流程繁琐重复的问题，中心对借阅程序进行了再次优化，删除不必要的环节，确保会计档案借阅高效、有序、合规，大大提高了预算单位的借阅效率；为督促预算单位及时清理未达账项，中心在新洲办公点设置显示大屏，将未达账笔数最多的五家预算单位予以公示，起到了有效监督作用。</w:t>
      </w:r>
    </w:p>
    <w:p>
      <w:pPr>
        <w:pStyle w:val="3"/>
        <w:ind w:firstLine="643"/>
      </w:pPr>
      <w:r>
        <w:rPr>
          <w:rFonts w:hint="eastAsia"/>
        </w:rPr>
        <w:t>（三）部门履职绩效情况</w:t>
      </w:r>
    </w:p>
    <w:p>
      <w:pPr>
        <w:pStyle w:val="4"/>
        <w:ind w:firstLine="643"/>
        <w:rPr>
          <w:rFonts w:ascii="仿宋_GB2312"/>
        </w:rPr>
      </w:pPr>
      <w:r>
        <w:rPr>
          <w:rFonts w:hint="eastAsia" w:ascii="仿宋_GB2312"/>
        </w:rPr>
        <w:t>1.经济性</w:t>
      </w:r>
    </w:p>
    <w:p>
      <w:pPr>
        <w:spacing w:line="560" w:lineRule="exact"/>
        <w:ind w:firstLine="640" w:firstLineChars="200"/>
        <w:rPr>
          <w:rFonts w:ascii="仿宋_GB2312"/>
          <w:szCs w:val="32"/>
        </w:rPr>
      </w:pPr>
      <w:r>
        <w:rPr>
          <w:rFonts w:ascii="仿宋_GB2312"/>
          <w:szCs w:val="32"/>
        </w:rPr>
        <w:t>2021</w:t>
      </w:r>
      <w:r>
        <w:rPr>
          <w:rFonts w:hint="eastAsia" w:ascii="仿宋_GB2312"/>
          <w:szCs w:val="32"/>
        </w:rPr>
        <w:t>年度，中心“三公”经费预算数</w:t>
      </w:r>
      <w:r>
        <w:rPr>
          <w:rFonts w:ascii="仿宋_GB2312"/>
          <w:szCs w:val="32"/>
        </w:rPr>
        <w:t>6.64</w:t>
      </w:r>
      <w:r>
        <w:rPr>
          <w:rFonts w:hint="eastAsia" w:ascii="仿宋_GB2312"/>
          <w:szCs w:val="32"/>
        </w:rPr>
        <w:t>万元，全年实际支出</w:t>
      </w:r>
      <w:r>
        <w:rPr>
          <w:rFonts w:ascii="仿宋_GB2312"/>
          <w:szCs w:val="32"/>
        </w:rPr>
        <w:t>4.18</w:t>
      </w:r>
      <w:r>
        <w:rPr>
          <w:rFonts w:hint="eastAsia" w:ascii="仿宋_GB2312"/>
          <w:szCs w:val="32"/>
        </w:rPr>
        <w:t>万元，“三公”经费控制率为</w:t>
      </w:r>
      <w:r>
        <w:rPr>
          <w:rFonts w:ascii="仿宋_GB2312"/>
          <w:szCs w:val="32"/>
        </w:rPr>
        <w:t>62.89</w:t>
      </w:r>
      <w:r>
        <w:rPr>
          <w:rFonts w:hint="eastAsia" w:ascii="仿宋_GB2312"/>
          <w:szCs w:val="32"/>
        </w:rPr>
        <w:t>%。</w:t>
      </w:r>
    </w:p>
    <w:p>
      <w:pPr>
        <w:spacing w:line="560" w:lineRule="exact"/>
        <w:ind w:firstLine="640" w:firstLineChars="200"/>
        <w:rPr>
          <w:rFonts w:ascii="仿宋_GB2312"/>
          <w:szCs w:val="32"/>
        </w:rPr>
      </w:pPr>
      <w:r>
        <w:rPr>
          <w:rFonts w:ascii="仿宋_GB2312"/>
          <w:szCs w:val="32"/>
        </w:rPr>
        <w:t>2021</w:t>
      </w:r>
      <w:r>
        <w:rPr>
          <w:rFonts w:hint="eastAsia" w:ascii="仿宋_GB2312"/>
          <w:szCs w:val="32"/>
        </w:rPr>
        <w:t>年度，中心日常公用经费年初预算数</w:t>
      </w:r>
      <w:r>
        <w:rPr>
          <w:rFonts w:ascii="仿宋_GB2312"/>
          <w:szCs w:val="32"/>
        </w:rPr>
        <w:t>126.73</w:t>
      </w:r>
      <w:r>
        <w:rPr>
          <w:rFonts w:hint="eastAsia" w:ascii="仿宋_GB2312"/>
          <w:szCs w:val="32"/>
        </w:rPr>
        <w:t>万元，调整后预算数</w:t>
      </w:r>
      <w:r>
        <w:rPr>
          <w:rFonts w:ascii="仿宋_GB2312"/>
          <w:szCs w:val="32"/>
        </w:rPr>
        <w:t>133.03</w:t>
      </w:r>
      <w:r>
        <w:rPr>
          <w:rFonts w:hint="eastAsia" w:ascii="仿宋_GB2312"/>
          <w:szCs w:val="32"/>
        </w:rPr>
        <w:t>万元，全年实际支出</w:t>
      </w:r>
      <w:r>
        <w:rPr>
          <w:rFonts w:ascii="仿宋_GB2312"/>
          <w:szCs w:val="32"/>
        </w:rPr>
        <w:t>128.52</w:t>
      </w:r>
      <w:r>
        <w:rPr>
          <w:rFonts w:hint="eastAsia" w:ascii="仿宋_GB2312"/>
          <w:szCs w:val="32"/>
        </w:rPr>
        <w:t>万元，日常公用经费控制率为</w:t>
      </w:r>
      <w:r>
        <w:rPr>
          <w:rFonts w:ascii="仿宋_GB2312"/>
          <w:szCs w:val="32"/>
        </w:rPr>
        <w:t>96.61</w:t>
      </w:r>
      <w:r>
        <w:rPr>
          <w:rFonts w:hint="eastAsia" w:ascii="仿宋_GB2312"/>
          <w:szCs w:val="32"/>
        </w:rPr>
        <w:t>%。“三公”经费及日常公用经费控制情况良好。</w:t>
      </w:r>
    </w:p>
    <w:p>
      <w:pPr>
        <w:pStyle w:val="4"/>
        <w:ind w:firstLine="643"/>
        <w:rPr>
          <w:rFonts w:ascii="仿宋_GB2312"/>
        </w:rPr>
      </w:pPr>
      <w:r>
        <w:rPr>
          <w:rFonts w:ascii="仿宋_GB2312"/>
        </w:rPr>
        <w:t>2</w:t>
      </w:r>
      <w:r>
        <w:rPr>
          <w:rFonts w:hint="eastAsia" w:ascii="仿宋_GB2312"/>
        </w:rPr>
        <w:t>.效率性</w:t>
      </w:r>
    </w:p>
    <w:p>
      <w:pPr>
        <w:spacing w:line="560" w:lineRule="exact"/>
        <w:ind w:firstLine="640" w:firstLineChars="200"/>
        <w:rPr>
          <w:rFonts w:ascii="仿宋_GB2312"/>
          <w:szCs w:val="32"/>
        </w:rPr>
      </w:pPr>
      <w:r>
        <w:rPr>
          <w:rFonts w:hint="eastAsia" w:ascii="仿宋_GB2312"/>
          <w:szCs w:val="32"/>
        </w:rPr>
        <w:t>中心2</w:t>
      </w:r>
      <w:r>
        <w:rPr>
          <w:rFonts w:ascii="仿宋_GB2312"/>
          <w:szCs w:val="32"/>
        </w:rPr>
        <w:t>021</w:t>
      </w:r>
      <w:r>
        <w:rPr>
          <w:rFonts w:hint="eastAsia" w:ascii="仿宋_GB2312"/>
          <w:szCs w:val="32"/>
        </w:rPr>
        <w:t>年度一季度预算执行率</w:t>
      </w:r>
      <w:r>
        <w:rPr>
          <w:rFonts w:ascii="仿宋_GB2312"/>
          <w:szCs w:val="32"/>
        </w:rPr>
        <w:t>37.22</w:t>
      </w:r>
      <w:r>
        <w:rPr>
          <w:rFonts w:hint="eastAsia" w:ascii="仿宋_GB2312"/>
          <w:szCs w:val="32"/>
        </w:rPr>
        <w:t>%，二季度预算执行率</w:t>
      </w:r>
      <w:r>
        <w:rPr>
          <w:rFonts w:ascii="仿宋_GB2312"/>
          <w:szCs w:val="32"/>
        </w:rPr>
        <w:t>55.73</w:t>
      </w:r>
      <w:r>
        <w:rPr>
          <w:rFonts w:hint="eastAsia" w:ascii="仿宋_GB2312"/>
          <w:szCs w:val="32"/>
        </w:rPr>
        <w:t>%，三季度预算执行率</w:t>
      </w:r>
      <w:r>
        <w:rPr>
          <w:rFonts w:ascii="仿宋_GB2312"/>
          <w:szCs w:val="32"/>
        </w:rPr>
        <w:t>78.42</w:t>
      </w:r>
      <w:r>
        <w:rPr>
          <w:rFonts w:hint="eastAsia" w:ascii="仿宋_GB2312"/>
          <w:szCs w:val="32"/>
        </w:rPr>
        <w:t>%，四季度预算执行率</w:t>
      </w:r>
      <w:r>
        <w:rPr>
          <w:rFonts w:ascii="仿宋_GB2312" w:hAnsi="楷体_GB2312" w:cs="楷体_GB2312"/>
          <w:bCs/>
          <w:szCs w:val="32"/>
        </w:rPr>
        <w:t>98.35%</w:t>
      </w:r>
      <w:r>
        <w:rPr>
          <w:rFonts w:hint="eastAsia" w:ascii="仿宋_GB2312"/>
          <w:szCs w:val="32"/>
        </w:rPr>
        <w:t>，全年平均预算执行率为</w:t>
      </w:r>
      <w:r>
        <w:rPr>
          <w:rFonts w:ascii="仿宋_GB2312"/>
          <w:szCs w:val="32"/>
        </w:rPr>
        <w:t>115.81%</w:t>
      </w:r>
      <w:r>
        <w:rPr>
          <w:rFonts w:hint="eastAsia" w:ascii="仿宋_GB2312"/>
          <w:szCs w:val="32"/>
        </w:rPr>
        <w:t>，其中一、二、三季度的预算执行率均超出序时进度。</w:t>
      </w:r>
    </w:p>
    <w:p>
      <w:pPr>
        <w:pStyle w:val="4"/>
        <w:ind w:firstLine="643"/>
        <w:rPr>
          <w:rFonts w:ascii="仿宋_GB2312"/>
        </w:rPr>
      </w:pPr>
      <w:r>
        <w:rPr>
          <w:rFonts w:hint="eastAsia" w:ascii="仿宋_GB2312"/>
        </w:rPr>
        <w:t>3.效果性</w:t>
      </w:r>
    </w:p>
    <w:p>
      <w:pPr>
        <w:spacing w:line="560" w:lineRule="exact"/>
        <w:ind w:firstLine="643" w:firstLineChars="200"/>
        <w:rPr>
          <w:rFonts w:ascii="仿宋_GB2312"/>
          <w:szCs w:val="32"/>
        </w:rPr>
      </w:pPr>
      <w:r>
        <w:rPr>
          <w:rFonts w:hint="eastAsia" w:ascii="仿宋_GB2312"/>
          <w:b/>
          <w:bCs/>
          <w:szCs w:val="32"/>
        </w:rPr>
        <w:t>一是高效完成新洲花园办公点搬迁工作。</w:t>
      </w:r>
      <w:r>
        <w:rPr>
          <w:rFonts w:hint="eastAsia" w:ascii="仿宋_GB2312"/>
          <w:szCs w:val="32"/>
        </w:rPr>
        <w:t>新洲花园综合楼二楼为我中心新设业务部室办公点，该项目自2020年10月起正式立项，2021年6月交付使用。考虑到原办公点所在的益强小学改扩建项目即将开始，中心班子周密部署，在极短时间内做好人员安排、办公设备购置及相关后勤保障工作，顺利完成办公点搬迁任务。</w:t>
      </w:r>
    </w:p>
    <w:p>
      <w:pPr>
        <w:spacing w:line="560" w:lineRule="exact"/>
        <w:ind w:firstLine="643" w:firstLineChars="200"/>
        <w:rPr>
          <w:rFonts w:ascii="仿宋_GB2312"/>
          <w:szCs w:val="32"/>
        </w:rPr>
      </w:pPr>
      <w:r>
        <w:rPr>
          <w:rFonts w:hint="eastAsia" w:ascii="仿宋_GB2312"/>
          <w:b/>
          <w:bCs/>
          <w:szCs w:val="32"/>
        </w:rPr>
        <w:t>二是开展区委一楼报账大厅功能改造工作。</w:t>
      </w:r>
      <w:r>
        <w:rPr>
          <w:rFonts w:hint="eastAsia" w:ascii="仿宋_GB2312"/>
          <w:szCs w:val="32"/>
        </w:rPr>
        <w:t>根据区委区政府统一部署，为配合区机关大楼整体改造工作，中心对一楼报账大厅进行清空搬离。在此过程中发现，现有报账大厅存在各类消防及安全隐患，经征求相关单位的意见后决定开展功能改造工作，现已完成发改立项和概算申报，接下来将继续落实进场施工工作。</w:t>
      </w:r>
    </w:p>
    <w:p>
      <w:pPr>
        <w:spacing w:line="560" w:lineRule="exact"/>
        <w:ind w:firstLine="643" w:firstLineChars="200"/>
        <w:rPr>
          <w:rFonts w:ascii="仿宋_GB2312"/>
          <w:szCs w:val="32"/>
        </w:rPr>
      </w:pPr>
      <w:r>
        <w:rPr>
          <w:rFonts w:hint="eastAsia" w:ascii="仿宋_GB2312"/>
          <w:b/>
          <w:bCs/>
          <w:szCs w:val="32"/>
        </w:rPr>
        <w:t>三是持续推进智慧财务云平台建设。</w:t>
      </w:r>
      <w:r>
        <w:rPr>
          <w:rFonts w:hint="eastAsia" w:ascii="仿宋_GB2312"/>
          <w:szCs w:val="32"/>
        </w:rPr>
        <w:t>为紧密契合现代财政体系和改革发展需要，中心于2018年起开展财务共享及数字化建设规划课题研究，最终形成两份调研报告，奠定平台建设基础。今年以来，中心持续加快推进智慧财务云平台建设，通过成立小组、调研走访、征求意见方式，形成《智慧财务云平台项目建议书》，现已成功立项，进入概算批复阶段。</w:t>
      </w:r>
    </w:p>
    <w:p>
      <w:pPr>
        <w:pStyle w:val="4"/>
        <w:ind w:firstLine="643"/>
        <w:rPr>
          <w:rFonts w:ascii="仿宋_GB2312"/>
        </w:rPr>
      </w:pPr>
      <w:r>
        <w:rPr>
          <w:rFonts w:ascii="仿宋_GB2312"/>
        </w:rPr>
        <w:t>4</w:t>
      </w:r>
      <w:r>
        <w:rPr>
          <w:rFonts w:hint="eastAsia" w:ascii="仿宋_GB2312"/>
        </w:rPr>
        <w:t>.公平性</w:t>
      </w:r>
    </w:p>
    <w:p>
      <w:pPr>
        <w:spacing w:line="560" w:lineRule="exact"/>
        <w:ind w:firstLine="640" w:firstLineChars="200"/>
        <w:rPr>
          <w:rFonts w:ascii="仿宋_GB2312"/>
          <w:szCs w:val="32"/>
        </w:rPr>
      </w:pPr>
      <w:r>
        <w:rPr>
          <w:rFonts w:hint="eastAsia" w:ascii="仿宋_GB2312"/>
          <w:szCs w:val="32"/>
        </w:rPr>
        <w:t>中心2</w:t>
      </w:r>
      <w:r>
        <w:rPr>
          <w:rFonts w:ascii="仿宋_GB2312"/>
          <w:szCs w:val="32"/>
        </w:rPr>
        <w:t>021</w:t>
      </w:r>
      <w:r>
        <w:rPr>
          <w:rFonts w:hint="eastAsia" w:ascii="仿宋_GB2312"/>
          <w:szCs w:val="32"/>
        </w:rPr>
        <w:t>年度未收到群众信访，根据“党政机关绩效考核系统”中“依法规范信访行为”，中心202</w:t>
      </w:r>
      <w:r>
        <w:rPr>
          <w:rFonts w:ascii="仿宋_GB2312"/>
          <w:szCs w:val="32"/>
        </w:rPr>
        <w:t>1</w:t>
      </w:r>
      <w:r>
        <w:rPr>
          <w:rFonts w:hint="eastAsia" w:ascii="仿宋_GB2312"/>
          <w:szCs w:val="32"/>
        </w:rPr>
        <w:t>年度信访指标得分为</w:t>
      </w:r>
      <w:r>
        <w:rPr>
          <w:rFonts w:ascii="仿宋_GB2312"/>
          <w:szCs w:val="32"/>
        </w:rPr>
        <w:t>98</w:t>
      </w:r>
      <w:r>
        <w:rPr>
          <w:rFonts w:hint="eastAsia" w:ascii="仿宋_GB2312"/>
          <w:szCs w:val="32"/>
        </w:rPr>
        <w:t>分。</w:t>
      </w:r>
    </w:p>
    <w:p>
      <w:pPr>
        <w:spacing w:line="560" w:lineRule="exact"/>
        <w:ind w:firstLine="640" w:firstLineChars="200"/>
        <w:rPr>
          <w:rFonts w:ascii="仿宋_GB2312"/>
          <w:szCs w:val="32"/>
        </w:rPr>
      </w:pPr>
      <w:r>
        <w:rPr>
          <w:rFonts w:hint="eastAsia" w:ascii="仿宋_GB2312"/>
          <w:szCs w:val="32"/>
        </w:rPr>
        <w:t>根据“党政机关绩效考核系统”中“社会公众对单位工作的评价”，中心202</w:t>
      </w:r>
      <w:r>
        <w:rPr>
          <w:rFonts w:ascii="仿宋_GB2312"/>
          <w:szCs w:val="32"/>
        </w:rPr>
        <w:t>1</w:t>
      </w:r>
      <w:r>
        <w:rPr>
          <w:rFonts w:hint="eastAsia" w:ascii="仿宋_GB2312"/>
          <w:szCs w:val="32"/>
        </w:rPr>
        <w:t>年度公众满意度得分为</w:t>
      </w:r>
      <w:r>
        <w:rPr>
          <w:rFonts w:ascii="仿宋_GB2312"/>
          <w:szCs w:val="32"/>
        </w:rPr>
        <w:t>85.35</w:t>
      </w:r>
      <w:r>
        <w:rPr>
          <w:rFonts w:hint="eastAsia" w:ascii="仿宋_GB2312"/>
          <w:szCs w:val="32"/>
        </w:rPr>
        <w:t>分，排全区前列。</w:t>
      </w:r>
    </w:p>
    <w:p>
      <w:pPr>
        <w:pStyle w:val="2"/>
        <w:ind w:firstLine="640"/>
      </w:pPr>
      <w:r>
        <w:rPr>
          <w:rFonts w:hint="eastAsia"/>
        </w:rPr>
        <w:t>三、总体评价和整改措施</w:t>
      </w:r>
    </w:p>
    <w:p>
      <w:pPr>
        <w:pStyle w:val="3"/>
        <w:ind w:firstLine="643"/>
      </w:pPr>
      <w:r>
        <w:rPr>
          <w:rFonts w:hint="eastAsia" w:ascii="楷体_GB2312" w:hAnsi="楷体_GB2312" w:cs="楷体_GB2312"/>
        </w:rPr>
        <w:t>（一）</w:t>
      </w:r>
      <w:r>
        <w:rPr>
          <w:rFonts w:hint="eastAsia"/>
        </w:rPr>
        <w:t>预算绩效管理工作主要经验、做法</w:t>
      </w:r>
    </w:p>
    <w:p>
      <w:pPr>
        <w:spacing w:line="580" w:lineRule="exact"/>
        <w:ind w:firstLine="640" w:firstLineChars="200"/>
        <w:rPr>
          <w:rFonts w:ascii="仿宋_GB2312"/>
        </w:rPr>
      </w:pPr>
      <w:r>
        <w:rPr>
          <w:rFonts w:hint="eastAsia" w:ascii="仿宋_GB2312"/>
        </w:rPr>
        <w:t>2021年，中心</w:t>
      </w:r>
      <w:r>
        <w:rPr>
          <w:rFonts w:hint="eastAsia" w:ascii="仿宋_GB2312" w:hAnsi="仿宋_GB2312" w:cs="仿宋_GB2312"/>
          <w:szCs w:val="32"/>
        </w:rPr>
        <w:t>持续贯彻落实</w:t>
      </w:r>
      <w:r>
        <w:rPr>
          <w:rFonts w:ascii="仿宋_GB2312" w:hAnsi="仿宋_GB2312" w:cs="仿宋_GB2312"/>
          <w:szCs w:val="32"/>
        </w:rPr>
        <w:t>预算和绩效一体化管理的要求</w:t>
      </w:r>
      <w:r>
        <w:rPr>
          <w:rFonts w:hint="eastAsia" w:ascii="仿宋_GB2312" w:hAnsi="仿宋_GB2312" w:cs="仿宋_GB2312"/>
          <w:szCs w:val="32"/>
        </w:rPr>
        <w:t>，</w:t>
      </w:r>
      <w:r>
        <w:rPr>
          <w:rFonts w:hint="eastAsia" w:ascii="仿宋_GB2312" w:hAnsi="Calibri"/>
          <w:color w:val="000000" w:themeColor="text1"/>
          <w:szCs w:val="32"/>
          <w14:textFill>
            <w14:solidFill>
              <w14:schemeClr w14:val="tx1"/>
            </w14:solidFill>
          </w14:textFill>
        </w:rPr>
        <w:t>将绩效理念融入预算编制、预算执行、预算监督的全过程管理，</w:t>
      </w:r>
      <w:r>
        <w:rPr>
          <w:rFonts w:hint="eastAsia" w:ascii="仿宋_GB2312" w:hAnsi="仿宋_GB2312" w:cs="仿宋_GB2312"/>
          <w:szCs w:val="32"/>
        </w:rPr>
        <w:t>积极</w:t>
      </w:r>
      <w:r>
        <w:rPr>
          <w:rFonts w:ascii="仿宋_GB2312" w:hAnsi="仿宋_GB2312" w:cs="仿宋_GB2312"/>
          <w:szCs w:val="32"/>
        </w:rPr>
        <w:t>主动开展</w:t>
      </w:r>
      <w:r>
        <w:rPr>
          <w:rFonts w:hint="eastAsia" w:ascii="仿宋_GB2312" w:hAnsi="仿宋_GB2312" w:cs="仿宋_GB2312"/>
          <w:szCs w:val="32"/>
        </w:rPr>
        <w:t>绩效目标编报、绩效运行监控、绩效评价等各类</w:t>
      </w:r>
      <w:r>
        <w:rPr>
          <w:rFonts w:ascii="仿宋_GB2312" w:hAnsi="仿宋_GB2312" w:cs="仿宋_GB2312"/>
          <w:szCs w:val="32"/>
        </w:rPr>
        <w:t>预算绩效管理工作</w:t>
      </w:r>
      <w:r>
        <w:rPr>
          <w:rFonts w:hint="eastAsia" w:ascii="仿宋_GB2312" w:hAnsi="仿宋_GB2312" w:cs="仿宋_GB2312"/>
          <w:szCs w:val="32"/>
        </w:rPr>
        <w:t>，</w:t>
      </w:r>
      <w:r>
        <w:rPr>
          <w:rFonts w:ascii="仿宋_GB2312" w:hAnsi="仿宋_GB2312" w:cs="仿宋_GB2312"/>
          <w:szCs w:val="32"/>
        </w:rPr>
        <w:t>强化支出责任和绩效意识，落实绩效主体责任</w:t>
      </w:r>
      <w:r>
        <w:rPr>
          <w:rFonts w:hint="eastAsia" w:ascii="仿宋_GB2312" w:hAnsi="仿宋_GB2312" w:cs="仿宋_GB2312"/>
          <w:szCs w:val="32"/>
        </w:rPr>
        <w:t>。</w:t>
      </w:r>
    </w:p>
    <w:p>
      <w:pPr>
        <w:spacing w:line="580" w:lineRule="exact"/>
        <w:ind w:firstLine="643" w:firstLineChars="200"/>
        <w:rPr>
          <w:rFonts w:ascii="仿宋_GB2312"/>
        </w:rPr>
      </w:pPr>
      <w:r>
        <w:rPr>
          <w:rFonts w:hint="eastAsia" w:ascii="仿宋_GB2312"/>
          <w:b/>
          <w:bCs/>
        </w:rPr>
        <w:t>一是科学设定项目绩效目标。</w:t>
      </w:r>
      <w:r>
        <w:rPr>
          <w:rFonts w:hint="eastAsia" w:ascii="仿宋_GB2312" w:hAnsi="Calibri"/>
          <w:color w:val="000000" w:themeColor="text1"/>
          <w:szCs w:val="32"/>
          <w14:textFill>
            <w14:solidFill>
              <w14:schemeClr w14:val="tx1"/>
            </w14:solidFill>
          </w14:textFill>
        </w:rPr>
        <w:t>中心在设定项目支出绩效目标时，充分考虑项目工作计划、项目工作目标、项目经费测算、项目履职效能，细化项目具体工作内容，量化各项工作任务的预期目标值，并聘请第三方专业机构评估预算指标设定的规范性、科学性及合理性，经过反复推敲与论证，确保指标内容与项目工作对应、指标目标值与项目计划挂钩、项目效益与单位职能匹配，高质量完成了项目绩效目标设定工作，为全年预算管理工作开展与目标达成夯实基础</w:t>
      </w:r>
      <w:r>
        <w:rPr>
          <w:rFonts w:hint="eastAsia" w:ascii="仿宋_GB2312"/>
        </w:rPr>
        <w:t>。</w:t>
      </w:r>
    </w:p>
    <w:p>
      <w:pPr>
        <w:spacing w:line="580" w:lineRule="exact"/>
        <w:ind w:firstLine="643" w:firstLineChars="200"/>
        <w:rPr>
          <w:rFonts w:ascii="仿宋_GB2312"/>
        </w:rPr>
      </w:pPr>
      <w:r>
        <w:rPr>
          <w:rFonts w:hint="eastAsia" w:ascii="仿宋_GB2312"/>
          <w:b/>
          <w:bCs/>
        </w:rPr>
        <w:t>二是加强预算绩效日常学习。</w:t>
      </w:r>
      <w:r>
        <w:rPr>
          <w:rFonts w:hint="eastAsia" w:ascii="仿宋_GB2312"/>
        </w:rPr>
        <w:t>中心加强预算绩效管理方面的日常学习与沟通交流，各工作人员积极了解国家省市区发布的关于预算绩效管理的规章制度，学习最新政策要求，熟悉最新政策导向，贯彻预算绩效管理要求，合规开展绩效运行监控、绩效自评等有关工作，针对发现的问题，认真执行落实整改工作，持续提升预算绩效工作效用。</w:t>
      </w:r>
    </w:p>
    <w:p>
      <w:pPr>
        <w:pStyle w:val="3"/>
        <w:ind w:firstLine="643"/>
      </w:pPr>
      <w:r>
        <w:rPr>
          <w:rFonts w:hint="eastAsia" w:ascii="楷体_GB2312" w:hAnsi="楷体_GB2312" w:cs="楷体_GB2312"/>
        </w:rPr>
        <w:t>（二）</w:t>
      </w:r>
      <w:r>
        <w:rPr>
          <w:rFonts w:hint="eastAsia"/>
        </w:rPr>
        <w:t>部门整体支出绩效存在问题及改进措施</w:t>
      </w:r>
    </w:p>
    <w:p>
      <w:pPr>
        <w:spacing w:line="580" w:lineRule="exact"/>
        <w:ind w:firstLine="643" w:firstLineChars="200"/>
        <w:rPr>
          <w:rFonts w:ascii="仿宋_GB2312"/>
        </w:rPr>
      </w:pPr>
      <w:r>
        <w:rPr>
          <w:rFonts w:hint="eastAsia" w:ascii="仿宋_GB2312"/>
          <w:b/>
          <w:bCs/>
        </w:rPr>
        <w:t>1</w:t>
      </w:r>
      <w:r>
        <w:rPr>
          <w:rFonts w:ascii="仿宋_GB2312"/>
          <w:b/>
          <w:bCs/>
        </w:rPr>
        <w:t>.</w:t>
      </w:r>
      <w:r>
        <w:rPr>
          <w:rFonts w:hint="eastAsia" w:ascii="仿宋_GB2312"/>
          <w:b/>
          <w:bCs/>
        </w:rPr>
        <w:t>绩效目标设定完整性有待提升。</w:t>
      </w:r>
      <w:r>
        <w:rPr>
          <w:rFonts w:hint="eastAsia" w:ascii="仿宋_GB2312" w:hAnsi="仿宋_GB2312" w:cs="仿宋_GB2312"/>
          <w:szCs w:val="32"/>
        </w:rPr>
        <w:t>中心2</w:t>
      </w:r>
      <w:r>
        <w:rPr>
          <w:rFonts w:ascii="仿宋_GB2312" w:hAnsi="仿宋_GB2312" w:cs="仿宋_GB2312"/>
          <w:szCs w:val="32"/>
        </w:rPr>
        <w:t>021</w:t>
      </w:r>
      <w:r>
        <w:rPr>
          <w:rFonts w:hint="eastAsia" w:ascii="仿宋_GB2312" w:hAnsi="仿宋_GB2312" w:cs="仿宋_GB2312"/>
          <w:szCs w:val="32"/>
        </w:rPr>
        <w:t>年度部门整体绩效目标表中，未完整设定效益目标，“经济效益”、“社会效益”、“可持续影响”、“生态效益”均填写为不适用，难以体现中心年度效益预期，难以评价中心年度履职的效益达成情况</w:t>
      </w:r>
      <w:r>
        <w:rPr>
          <w:rFonts w:hint="eastAsia" w:ascii="仿宋_GB2312"/>
        </w:rPr>
        <w:t>。此外，根据区财政部门绩效管理要求，效益目标为部门整体或项目支出绩效目标设定的必须设定内容，因此未完整设定效益目标，不符合外部政策要求。</w:t>
      </w:r>
    </w:p>
    <w:p>
      <w:pPr>
        <w:spacing w:line="580" w:lineRule="exact"/>
        <w:ind w:firstLine="643" w:firstLineChars="200"/>
        <w:rPr>
          <w:rFonts w:ascii="仿宋_GB2312"/>
          <w:szCs w:val="32"/>
        </w:rPr>
      </w:pPr>
      <w:r>
        <w:rPr>
          <w:rFonts w:hint="eastAsia" w:ascii="仿宋_GB2312"/>
          <w:b/>
          <w:bCs/>
          <w:szCs w:val="32"/>
        </w:rPr>
        <w:t>改进措施：一是</w:t>
      </w:r>
      <w:r>
        <w:rPr>
          <w:rFonts w:hint="eastAsia" w:ascii="仿宋_GB2312"/>
          <w:szCs w:val="32"/>
        </w:rPr>
        <w:t>检查2</w:t>
      </w:r>
      <w:r>
        <w:rPr>
          <w:rFonts w:ascii="仿宋_GB2312"/>
          <w:szCs w:val="32"/>
        </w:rPr>
        <w:t>022</w:t>
      </w:r>
      <w:r>
        <w:rPr>
          <w:rFonts w:hint="eastAsia" w:ascii="仿宋_GB2312"/>
          <w:szCs w:val="32"/>
        </w:rPr>
        <w:t>年度部门整体绩效目标内容，重点关注效益目标设定情况，如设定不完整或不合理，及时开展要素变更程序，完善绩效目标，为绩效运行监控、绩效评价工作夯实基础；</w:t>
      </w:r>
      <w:r>
        <w:rPr>
          <w:rFonts w:hint="eastAsia" w:ascii="仿宋_GB2312"/>
          <w:b/>
          <w:bCs/>
          <w:szCs w:val="32"/>
        </w:rPr>
        <w:t>二是</w:t>
      </w:r>
      <w:r>
        <w:rPr>
          <w:rFonts w:hint="eastAsia" w:ascii="仿宋_GB2312"/>
          <w:szCs w:val="32"/>
        </w:rPr>
        <w:t>2</w:t>
      </w:r>
      <w:r>
        <w:rPr>
          <w:rFonts w:ascii="仿宋_GB2312"/>
          <w:szCs w:val="32"/>
        </w:rPr>
        <w:t>023</w:t>
      </w:r>
      <w:r>
        <w:rPr>
          <w:rFonts w:hint="eastAsia" w:ascii="仿宋_GB2312"/>
          <w:szCs w:val="32"/>
        </w:rPr>
        <w:t>年度部门整体及项目支出绩效目标编报工作在即，提前做好绩效目标设定工作安排，充分借鉴往年经验，提升绩效目标设定完整性与合理性。</w:t>
      </w:r>
    </w:p>
    <w:p>
      <w:pPr>
        <w:spacing w:line="580" w:lineRule="exact"/>
        <w:ind w:firstLine="643" w:firstLineChars="200"/>
        <w:rPr>
          <w:rFonts w:ascii="仿宋_GB2312" w:hAnsi="楷体_GB2312" w:cs="楷体_GB2312"/>
          <w:bCs/>
          <w:szCs w:val="32"/>
        </w:rPr>
      </w:pPr>
      <w:r>
        <w:rPr>
          <w:rFonts w:hint="eastAsia" w:ascii="仿宋_GB2312"/>
          <w:b/>
          <w:bCs/>
          <w:szCs w:val="32"/>
        </w:rPr>
        <w:t>2</w:t>
      </w:r>
      <w:r>
        <w:rPr>
          <w:rFonts w:ascii="仿宋_GB2312"/>
          <w:b/>
          <w:bCs/>
          <w:szCs w:val="32"/>
        </w:rPr>
        <w:t>.</w:t>
      </w:r>
      <w:r>
        <w:rPr>
          <w:rFonts w:hint="eastAsia" w:ascii="仿宋_GB2312"/>
          <w:b/>
          <w:bCs/>
          <w:szCs w:val="32"/>
        </w:rPr>
        <w:t>采购预算执行率有待提高。</w:t>
      </w:r>
      <w:r>
        <w:rPr>
          <w:rFonts w:hint="eastAsia" w:ascii="仿宋_GB2312" w:hAnsi="楷体_GB2312" w:cs="楷体_GB2312"/>
          <w:bCs/>
          <w:szCs w:val="32"/>
        </w:rPr>
        <w:t>2021年度，中心政府采购预算金额为</w:t>
      </w:r>
      <w:r>
        <w:rPr>
          <w:rFonts w:ascii="仿宋_GB2312" w:hAnsi="楷体_GB2312" w:cs="楷体_GB2312"/>
          <w:bCs/>
          <w:szCs w:val="32"/>
        </w:rPr>
        <w:t>266.24万元，</w:t>
      </w:r>
      <w:r>
        <w:rPr>
          <w:rFonts w:hint="eastAsia" w:ascii="仿宋_GB2312" w:hAnsi="楷体_GB2312" w:cs="楷体_GB2312"/>
          <w:bCs/>
          <w:szCs w:val="32"/>
        </w:rPr>
        <w:t>实际采购支出金额为</w:t>
      </w:r>
      <w:r>
        <w:rPr>
          <w:rFonts w:ascii="仿宋_GB2312" w:hAnsi="楷体_GB2312" w:cs="楷体_GB2312"/>
          <w:bCs/>
          <w:szCs w:val="32"/>
        </w:rPr>
        <w:t>215.59</w:t>
      </w:r>
      <w:r>
        <w:rPr>
          <w:rFonts w:hint="eastAsia" w:ascii="仿宋_GB2312" w:hAnsi="楷体_GB2312" w:cs="楷体_GB2312"/>
          <w:bCs/>
          <w:szCs w:val="32"/>
        </w:rPr>
        <w:t>万元，政府采购执行率为</w:t>
      </w:r>
      <w:r>
        <w:rPr>
          <w:rFonts w:ascii="仿宋_GB2312" w:hAnsi="楷体_GB2312" w:cs="楷体_GB2312"/>
          <w:bCs/>
          <w:szCs w:val="32"/>
        </w:rPr>
        <w:t>80.98</w:t>
      </w:r>
      <w:r>
        <w:rPr>
          <w:rFonts w:hint="eastAsia" w:ascii="仿宋_GB2312" w:hAnsi="楷体_GB2312" w:cs="楷体_GB2312"/>
          <w:bCs/>
          <w:szCs w:val="32"/>
        </w:rPr>
        <w:t>%，政府采购执行率偏低，影响了中心全年预算执行率。经查，主要由于“一般管理事务”项目采购预算</w:t>
      </w:r>
      <w:r>
        <w:rPr>
          <w:rFonts w:ascii="仿宋_GB2312" w:hAnsi="楷体_GB2312" w:cs="楷体_GB2312"/>
          <w:bCs/>
          <w:szCs w:val="32"/>
        </w:rPr>
        <w:t>225</w:t>
      </w:r>
      <w:r>
        <w:rPr>
          <w:rFonts w:hint="eastAsia" w:ascii="仿宋_GB2312" w:hAnsi="楷体_GB2312" w:cs="楷体_GB2312"/>
          <w:bCs/>
          <w:szCs w:val="32"/>
        </w:rPr>
        <w:t>万元，实际采购支出金额为</w:t>
      </w:r>
      <w:r>
        <w:rPr>
          <w:rFonts w:ascii="仿宋_GB2312" w:hAnsi="楷体_GB2312" w:cs="楷体_GB2312"/>
          <w:bCs/>
          <w:szCs w:val="32"/>
        </w:rPr>
        <w:t>176.89</w:t>
      </w:r>
      <w:r>
        <w:rPr>
          <w:rFonts w:hint="eastAsia" w:ascii="仿宋_GB2312" w:hAnsi="楷体_GB2312" w:cs="楷体_GB2312"/>
          <w:bCs/>
          <w:szCs w:val="32"/>
        </w:rPr>
        <w:t>万元，采购预算执行率7</w:t>
      </w:r>
      <w:r>
        <w:rPr>
          <w:rFonts w:ascii="仿宋_GB2312" w:hAnsi="楷体_GB2312" w:cs="楷体_GB2312"/>
          <w:bCs/>
          <w:szCs w:val="32"/>
        </w:rPr>
        <w:t>8.62%</w:t>
      </w:r>
      <w:r>
        <w:rPr>
          <w:rFonts w:hint="eastAsia" w:ascii="仿宋_GB2312" w:hAnsi="楷体_GB2312" w:cs="楷体_GB2312"/>
          <w:bCs/>
          <w:szCs w:val="32"/>
        </w:rPr>
        <w:t>，目前该项目</w:t>
      </w:r>
      <w:r>
        <w:rPr>
          <w:rFonts w:ascii="仿宋_GB2312" w:hAnsi="楷体_GB2312" w:cs="楷体_GB2312"/>
          <w:bCs/>
          <w:szCs w:val="32"/>
        </w:rPr>
        <w:t>44.22</w:t>
      </w:r>
      <w:r>
        <w:rPr>
          <w:rFonts w:hint="eastAsia" w:ascii="仿宋_GB2312" w:hAnsi="楷体_GB2312" w:cs="楷体_GB2312"/>
          <w:bCs/>
          <w:szCs w:val="32"/>
        </w:rPr>
        <w:t>万元已结转至2</w:t>
      </w:r>
      <w:r>
        <w:rPr>
          <w:rFonts w:ascii="仿宋_GB2312" w:hAnsi="楷体_GB2312" w:cs="楷体_GB2312"/>
          <w:bCs/>
          <w:szCs w:val="32"/>
        </w:rPr>
        <w:t>022</w:t>
      </w:r>
      <w:r>
        <w:rPr>
          <w:rFonts w:hint="eastAsia" w:ascii="仿宋_GB2312" w:hAnsi="楷体_GB2312" w:cs="楷体_GB2312"/>
          <w:bCs/>
          <w:szCs w:val="32"/>
        </w:rPr>
        <w:t>年。</w:t>
      </w:r>
    </w:p>
    <w:p>
      <w:pPr>
        <w:spacing w:line="580" w:lineRule="exact"/>
        <w:ind w:firstLine="643" w:firstLineChars="200"/>
        <w:rPr>
          <w:rFonts w:ascii="仿宋_GB2312"/>
          <w:szCs w:val="32"/>
        </w:rPr>
      </w:pPr>
      <w:r>
        <w:rPr>
          <w:rFonts w:hint="eastAsia" w:ascii="仿宋_GB2312"/>
          <w:b/>
          <w:bCs/>
          <w:szCs w:val="32"/>
        </w:rPr>
        <w:t>改进措施：一是</w:t>
      </w:r>
      <w:r>
        <w:rPr>
          <w:rFonts w:hint="eastAsia" w:ascii="仿宋_GB2312"/>
          <w:szCs w:val="32"/>
        </w:rPr>
        <w:t>根据项目合同约定，结合供应商履约情况，及时合规使用结转资金；</w:t>
      </w:r>
      <w:r>
        <w:rPr>
          <w:rFonts w:hint="eastAsia" w:ascii="仿宋_GB2312"/>
          <w:b/>
          <w:bCs/>
          <w:szCs w:val="32"/>
        </w:rPr>
        <w:t>二是</w:t>
      </w:r>
      <w:r>
        <w:rPr>
          <w:rFonts w:hint="eastAsia" w:ascii="仿宋_GB2312"/>
          <w:szCs w:val="32"/>
        </w:rPr>
        <w:t>2</w:t>
      </w:r>
      <w:r>
        <w:rPr>
          <w:rFonts w:ascii="仿宋_GB2312"/>
          <w:szCs w:val="32"/>
        </w:rPr>
        <w:t>022</w:t>
      </w:r>
      <w:r>
        <w:rPr>
          <w:rFonts w:hint="eastAsia" w:ascii="仿宋_GB2312"/>
          <w:szCs w:val="32"/>
        </w:rPr>
        <w:t>年严格按照年初预算及工作计划，及时开展采购工作、支付资金，提高采购预算执行率；</w:t>
      </w:r>
      <w:r>
        <w:rPr>
          <w:rFonts w:hint="eastAsia" w:ascii="仿宋_GB2312"/>
          <w:b/>
          <w:bCs/>
          <w:szCs w:val="32"/>
        </w:rPr>
        <w:t>三是</w:t>
      </w:r>
      <w:r>
        <w:rPr>
          <w:rFonts w:hint="eastAsia" w:ascii="仿宋_GB2312"/>
          <w:szCs w:val="32"/>
        </w:rPr>
        <w:t>2</w:t>
      </w:r>
      <w:r>
        <w:rPr>
          <w:rFonts w:ascii="仿宋_GB2312"/>
          <w:szCs w:val="32"/>
        </w:rPr>
        <w:t>023</w:t>
      </w:r>
      <w:r>
        <w:rPr>
          <w:rFonts w:hint="eastAsia" w:ascii="仿宋_GB2312"/>
          <w:szCs w:val="32"/>
        </w:rPr>
        <w:t>年预算编报工作在即，提前部署预算编制工作安排，充分考虑疫情等因素影响，科学合理设定政府采购预算。</w:t>
      </w:r>
    </w:p>
    <w:p>
      <w:pPr>
        <w:spacing w:line="580" w:lineRule="exact"/>
        <w:ind w:firstLine="643" w:firstLineChars="200"/>
        <w:rPr>
          <w:rFonts w:ascii="仿宋_GB2312"/>
          <w:szCs w:val="32"/>
        </w:rPr>
      </w:pPr>
      <w:r>
        <w:rPr>
          <w:rFonts w:ascii="仿宋_GB2312"/>
          <w:b/>
          <w:bCs/>
          <w:szCs w:val="32"/>
        </w:rPr>
        <w:t>3.</w:t>
      </w:r>
      <w:r>
        <w:rPr>
          <w:rFonts w:hint="eastAsia" w:ascii="仿宋_GB2312"/>
          <w:b/>
          <w:bCs/>
          <w:szCs w:val="32"/>
        </w:rPr>
        <w:t>固定资产使用效率有待提高。</w:t>
      </w:r>
      <w:r>
        <w:rPr>
          <w:rFonts w:hint="eastAsia" w:ascii="仿宋_GB2312"/>
          <w:szCs w:val="32"/>
        </w:rPr>
        <w:t>2021年度，中心固定资产总原值为17</w:t>
      </w:r>
      <w:r>
        <w:rPr>
          <w:rFonts w:ascii="仿宋_GB2312"/>
          <w:szCs w:val="32"/>
        </w:rPr>
        <w:t>,</w:t>
      </w:r>
      <w:r>
        <w:rPr>
          <w:rFonts w:hint="eastAsia" w:ascii="仿宋_GB2312"/>
          <w:szCs w:val="32"/>
        </w:rPr>
        <w:t>198</w:t>
      </w:r>
      <w:r>
        <w:rPr>
          <w:rFonts w:ascii="仿宋_GB2312"/>
          <w:szCs w:val="32"/>
        </w:rPr>
        <w:t>,</w:t>
      </w:r>
      <w:r>
        <w:rPr>
          <w:rFonts w:hint="eastAsia" w:ascii="仿宋_GB2312"/>
          <w:szCs w:val="32"/>
        </w:rPr>
        <w:t>080.16元，在用固定资产总原值为15</w:t>
      </w:r>
      <w:r>
        <w:rPr>
          <w:rFonts w:ascii="仿宋_GB2312"/>
          <w:szCs w:val="32"/>
        </w:rPr>
        <w:t>,</w:t>
      </w:r>
      <w:r>
        <w:rPr>
          <w:rFonts w:hint="eastAsia" w:ascii="仿宋_GB2312"/>
          <w:szCs w:val="32"/>
        </w:rPr>
        <w:t>210</w:t>
      </w:r>
      <w:r>
        <w:rPr>
          <w:rFonts w:ascii="仿宋_GB2312"/>
          <w:szCs w:val="32"/>
        </w:rPr>
        <w:t>,</w:t>
      </w:r>
      <w:r>
        <w:rPr>
          <w:rFonts w:hint="eastAsia" w:ascii="仿宋_GB2312"/>
          <w:szCs w:val="32"/>
        </w:rPr>
        <w:t>477.71元，固定资产利用率为88.44%。主要由于：</w:t>
      </w:r>
      <w:r>
        <w:rPr>
          <w:rFonts w:hint="eastAsia" w:ascii="仿宋_GB2312"/>
          <w:b/>
          <w:bCs/>
          <w:szCs w:val="32"/>
        </w:rPr>
        <w:t>一是</w:t>
      </w:r>
      <w:r>
        <w:rPr>
          <w:rFonts w:ascii="仿宋_GB2312"/>
          <w:szCs w:val="32"/>
        </w:rPr>
        <w:t>2021</w:t>
      </w:r>
      <w:r>
        <w:rPr>
          <w:rFonts w:hint="eastAsia" w:ascii="仿宋_GB2312"/>
          <w:szCs w:val="32"/>
        </w:rPr>
        <w:t>年固定资产清查中发现待报废固定资产较多，经统计，待报废固定资产原值合计</w:t>
      </w:r>
      <w:r>
        <w:rPr>
          <w:rFonts w:ascii="仿宋_GB2312"/>
          <w:szCs w:val="32"/>
        </w:rPr>
        <w:t>1,877,753.49</w:t>
      </w:r>
      <w:r>
        <w:rPr>
          <w:rFonts w:hint="eastAsia" w:ascii="仿宋_GB2312"/>
          <w:szCs w:val="32"/>
        </w:rPr>
        <w:t>元，占固定资产总原值的1</w:t>
      </w:r>
      <w:r>
        <w:rPr>
          <w:rFonts w:ascii="仿宋_GB2312"/>
          <w:szCs w:val="32"/>
        </w:rPr>
        <w:t>0.92%</w:t>
      </w:r>
      <w:r>
        <w:rPr>
          <w:rFonts w:hint="eastAsia" w:ascii="仿宋_GB2312"/>
          <w:szCs w:val="32"/>
        </w:rPr>
        <w:t>，比重较大，影响固定资产利用率；</w:t>
      </w:r>
      <w:r>
        <w:rPr>
          <w:rFonts w:hint="eastAsia" w:ascii="仿宋_GB2312"/>
          <w:b/>
          <w:bCs/>
          <w:szCs w:val="32"/>
        </w:rPr>
        <w:t>二是</w:t>
      </w:r>
      <w:r>
        <w:rPr>
          <w:rFonts w:hint="eastAsia" w:ascii="仿宋_GB2312"/>
          <w:szCs w:val="32"/>
        </w:rPr>
        <w:t>在待报废固定资产中，部分固定资产的实际使用年限已超过规定年限，固定资产已无法正常使用，但因其在系统录入时间较晚，折旧未全部完成，仍有净值，因此无法申请报废。</w:t>
      </w:r>
    </w:p>
    <w:p>
      <w:pPr>
        <w:spacing w:line="580" w:lineRule="exact"/>
        <w:ind w:firstLine="643" w:firstLineChars="200"/>
        <w:rPr>
          <w:rFonts w:ascii="仿宋_GB2312"/>
          <w:szCs w:val="32"/>
        </w:rPr>
      </w:pPr>
      <w:r>
        <w:rPr>
          <w:rFonts w:hint="eastAsia" w:ascii="仿宋_GB2312"/>
          <w:b/>
          <w:bCs/>
          <w:szCs w:val="32"/>
        </w:rPr>
        <w:t>改进措施：一是</w:t>
      </w:r>
      <w:r>
        <w:rPr>
          <w:rFonts w:hint="eastAsia" w:ascii="仿宋_GB2312"/>
          <w:szCs w:val="32"/>
        </w:rPr>
        <w:t>针对待报废的资产，于2</w:t>
      </w:r>
      <w:r>
        <w:rPr>
          <w:rFonts w:ascii="仿宋_GB2312"/>
          <w:szCs w:val="32"/>
        </w:rPr>
        <w:t>022</w:t>
      </w:r>
      <w:r>
        <w:rPr>
          <w:rFonts w:hint="eastAsia" w:ascii="仿宋_GB2312"/>
          <w:szCs w:val="32"/>
        </w:rPr>
        <w:t>年及时合规开展报废工作；</w:t>
      </w:r>
      <w:r>
        <w:rPr>
          <w:rFonts w:hint="eastAsia" w:ascii="仿宋_GB2312"/>
          <w:b/>
          <w:bCs/>
          <w:szCs w:val="32"/>
        </w:rPr>
        <w:t>二是</w:t>
      </w:r>
      <w:r>
        <w:rPr>
          <w:rFonts w:hint="eastAsia" w:ascii="仿宋_GB2312"/>
          <w:szCs w:val="32"/>
        </w:rPr>
        <w:t>持续加强固定资产的日常管理，及时排查固定资产的使用状况，提高固定资产利用效率。</w:t>
      </w:r>
    </w:p>
    <w:p>
      <w:pPr>
        <w:spacing w:line="580" w:lineRule="exact"/>
        <w:ind w:firstLine="643" w:firstLineChars="200"/>
        <w:rPr>
          <w:rFonts w:ascii="仿宋_GB2312"/>
          <w:szCs w:val="32"/>
        </w:rPr>
      </w:pPr>
      <w:r>
        <w:rPr>
          <w:rFonts w:ascii="仿宋_GB2312"/>
          <w:b/>
          <w:bCs/>
          <w:szCs w:val="32"/>
        </w:rPr>
        <w:t>4.</w:t>
      </w:r>
      <w:r>
        <w:rPr>
          <w:rFonts w:hint="eastAsia" w:ascii="仿宋_GB2312"/>
          <w:b/>
          <w:bCs/>
          <w:szCs w:val="32"/>
        </w:rPr>
        <w:t>编外人员控制有待进一步加强。</w:t>
      </w:r>
      <w:r>
        <w:rPr>
          <w:rFonts w:hint="eastAsia" w:ascii="仿宋_GB2312"/>
          <w:szCs w:val="32"/>
        </w:rPr>
        <w:t>2021年末，中心</w:t>
      </w:r>
      <w:r>
        <w:rPr>
          <w:rFonts w:hint="eastAsia" w:ascii="仿宋_GB2312" w:hAnsi="仿宋"/>
          <w:szCs w:val="32"/>
        </w:rPr>
        <w:t>事业编制总数67人，</w:t>
      </w:r>
      <w:r>
        <w:rPr>
          <w:rFonts w:hint="eastAsia" w:ascii="仿宋_GB2312"/>
          <w:szCs w:val="32"/>
        </w:rPr>
        <w:t>实有在职在编人数52人，雇员9人、劳务派遣人员36人，编外人员控制率为</w:t>
      </w:r>
      <w:r>
        <w:rPr>
          <w:rFonts w:ascii="仿宋_GB2312"/>
          <w:szCs w:val="32"/>
        </w:rPr>
        <w:t>37.11</w:t>
      </w:r>
      <w:r>
        <w:rPr>
          <w:rFonts w:hint="eastAsia" w:ascii="仿宋_GB2312"/>
          <w:szCs w:val="32"/>
        </w:rPr>
        <w:t>%，高于部门整体绩效评价标准5</w:t>
      </w:r>
      <w:r>
        <w:rPr>
          <w:rFonts w:ascii="仿宋_GB2312"/>
          <w:szCs w:val="32"/>
        </w:rPr>
        <w:t>%</w:t>
      </w:r>
      <w:r>
        <w:rPr>
          <w:rFonts w:hint="eastAsia" w:ascii="仿宋_GB2312"/>
          <w:szCs w:val="32"/>
        </w:rPr>
        <w:t>。</w:t>
      </w:r>
    </w:p>
    <w:p>
      <w:pPr>
        <w:spacing w:line="580" w:lineRule="exact"/>
        <w:ind w:firstLine="643" w:firstLineChars="200"/>
        <w:rPr>
          <w:rFonts w:ascii="仿宋_GB2312"/>
          <w:szCs w:val="32"/>
        </w:rPr>
      </w:pPr>
      <w:r>
        <w:rPr>
          <w:rFonts w:hint="eastAsia" w:ascii="仿宋_GB2312"/>
          <w:b/>
          <w:bCs/>
          <w:szCs w:val="32"/>
        </w:rPr>
        <w:t>改进措施：一是</w:t>
      </w:r>
      <w:r>
        <w:rPr>
          <w:rFonts w:hint="eastAsia" w:ascii="仿宋_GB2312"/>
          <w:szCs w:val="32"/>
        </w:rPr>
        <w:t>持续严格按照员额编制标准控制编外人员人数，确保中心在职编外人员人数合理合规；</w:t>
      </w:r>
      <w:r>
        <w:rPr>
          <w:rFonts w:hint="eastAsia" w:ascii="仿宋_GB2312"/>
          <w:b/>
          <w:bCs/>
          <w:szCs w:val="32"/>
        </w:rPr>
        <w:t>二是</w:t>
      </w:r>
      <w:r>
        <w:rPr>
          <w:rFonts w:hint="eastAsia" w:ascii="仿宋_GB2312"/>
          <w:szCs w:val="32"/>
        </w:rPr>
        <w:t>进一步加强编外人员的日常管理，加强业务培训，提高编外人员专业水平，推动中心履职效率。</w:t>
      </w:r>
    </w:p>
    <w:p>
      <w:pPr>
        <w:spacing w:line="580" w:lineRule="exact"/>
        <w:ind w:firstLine="643" w:firstLineChars="200"/>
        <w:rPr>
          <w:rFonts w:ascii="仿宋_GB2312"/>
          <w:szCs w:val="32"/>
        </w:rPr>
      </w:pPr>
      <w:r>
        <w:rPr>
          <w:rFonts w:ascii="仿宋_GB2312"/>
          <w:b/>
          <w:bCs/>
          <w:szCs w:val="32"/>
        </w:rPr>
        <w:t>5.</w:t>
      </w:r>
      <w:r>
        <w:rPr>
          <w:rFonts w:hint="eastAsia" w:ascii="仿宋_GB2312"/>
          <w:b/>
          <w:bCs/>
          <w:szCs w:val="32"/>
        </w:rPr>
        <w:t>日常公用经费控制有待进一步加强。</w:t>
      </w:r>
      <w:r>
        <w:rPr>
          <w:rFonts w:ascii="仿宋_GB2312"/>
          <w:szCs w:val="32"/>
        </w:rPr>
        <w:t>2021年度，中心日常公用经费年初预算数</w:t>
      </w:r>
      <w:r>
        <w:rPr>
          <w:rFonts w:hint="eastAsia" w:ascii="仿宋_GB2312"/>
          <w:szCs w:val="32"/>
        </w:rPr>
        <w:t>为</w:t>
      </w:r>
      <w:r>
        <w:rPr>
          <w:rFonts w:ascii="仿宋_GB2312"/>
          <w:szCs w:val="32"/>
        </w:rPr>
        <w:t>126.73万元，调整后预算数</w:t>
      </w:r>
      <w:r>
        <w:rPr>
          <w:rFonts w:hint="eastAsia" w:ascii="仿宋_GB2312"/>
          <w:szCs w:val="32"/>
        </w:rPr>
        <w:t>为</w:t>
      </w:r>
      <w:r>
        <w:rPr>
          <w:rFonts w:ascii="仿宋_GB2312"/>
          <w:szCs w:val="32"/>
        </w:rPr>
        <w:t>133.03万元，全年实际支出</w:t>
      </w:r>
      <w:r>
        <w:rPr>
          <w:rFonts w:hint="eastAsia" w:ascii="仿宋_GB2312"/>
          <w:szCs w:val="32"/>
        </w:rPr>
        <w:t>为</w:t>
      </w:r>
      <w:r>
        <w:rPr>
          <w:rFonts w:ascii="仿宋_GB2312"/>
          <w:szCs w:val="32"/>
        </w:rPr>
        <w:t>128.52万元，日常公用经费控制率为96.61%</w:t>
      </w:r>
      <w:r>
        <w:rPr>
          <w:rFonts w:hint="eastAsia" w:ascii="仿宋_GB2312"/>
          <w:szCs w:val="32"/>
        </w:rPr>
        <w:t>，高于部门整体绩效评价标准9</w:t>
      </w:r>
      <w:r>
        <w:rPr>
          <w:rFonts w:ascii="仿宋_GB2312"/>
          <w:szCs w:val="32"/>
        </w:rPr>
        <w:t>0%。</w:t>
      </w:r>
    </w:p>
    <w:p>
      <w:pPr>
        <w:spacing w:line="580" w:lineRule="exact"/>
        <w:ind w:firstLine="643" w:firstLineChars="200"/>
        <w:rPr>
          <w:rFonts w:ascii="仿宋_GB2312"/>
          <w:szCs w:val="32"/>
        </w:rPr>
      </w:pPr>
      <w:r>
        <w:rPr>
          <w:rFonts w:hint="eastAsia" w:ascii="仿宋_GB2312"/>
          <w:b/>
          <w:bCs/>
          <w:szCs w:val="32"/>
        </w:rPr>
        <w:t>改进建议：</w:t>
      </w:r>
      <w:r>
        <w:rPr>
          <w:rFonts w:hint="eastAsia" w:ascii="仿宋_GB2312"/>
          <w:szCs w:val="32"/>
        </w:rPr>
        <w:t>持续贯彻落实厉行节约有关规定，严格按照预算合规开支，合理控制机构运转成本。</w:t>
      </w:r>
    </w:p>
    <w:p>
      <w:pPr>
        <w:pStyle w:val="3"/>
        <w:ind w:firstLine="643"/>
      </w:pPr>
      <w:r>
        <w:rPr>
          <w:rFonts w:hint="eastAsia" w:ascii="楷体_GB2312" w:hAnsi="楷体_GB2312" w:cs="楷体_GB2312"/>
        </w:rPr>
        <w:t>（三）</w:t>
      </w:r>
      <w:r>
        <w:rPr>
          <w:rFonts w:hint="eastAsia"/>
        </w:rPr>
        <w:t>后续工作计划、相关建议等</w:t>
      </w:r>
    </w:p>
    <w:p>
      <w:pPr>
        <w:spacing w:line="580" w:lineRule="exact"/>
        <w:ind w:firstLine="640" w:firstLineChars="200"/>
        <w:rPr>
          <w:rFonts w:ascii="仿宋_GB2312"/>
        </w:rPr>
      </w:pPr>
      <w:r>
        <w:rPr>
          <w:rFonts w:ascii="仿宋_GB2312"/>
        </w:rPr>
        <w:t>1.</w:t>
      </w:r>
      <w:r>
        <w:rPr>
          <w:rFonts w:hint="eastAsia" w:ascii="仿宋_GB2312"/>
        </w:rPr>
        <w:t>按照区财政部门2</w:t>
      </w:r>
      <w:r>
        <w:rPr>
          <w:rFonts w:ascii="仿宋_GB2312"/>
        </w:rPr>
        <w:t>022</w:t>
      </w:r>
      <w:r>
        <w:rPr>
          <w:rFonts w:hint="eastAsia" w:ascii="仿宋_GB2312"/>
        </w:rPr>
        <w:t>年全年预算绩效工作安排，提前部署预算绩效各项任务的工作时间及计划，同时，根据实际工作情况，动态调整时间安排，避免工作滞后，合理保证预算绩效各项任务的有序开展。</w:t>
      </w:r>
    </w:p>
    <w:p>
      <w:pPr>
        <w:spacing w:line="560" w:lineRule="exact"/>
        <w:ind w:firstLine="640" w:firstLineChars="200"/>
        <w:rPr>
          <w:rFonts w:ascii="仿宋_GB2312"/>
          <w:bCs/>
          <w:szCs w:val="32"/>
        </w:rPr>
      </w:pPr>
      <w:r>
        <w:rPr>
          <w:rFonts w:ascii="仿宋_GB2312"/>
          <w:bCs/>
          <w:szCs w:val="32"/>
        </w:rPr>
        <w:t>2.</w:t>
      </w:r>
      <w:r>
        <w:rPr>
          <w:rFonts w:hint="eastAsia" w:ascii="仿宋_GB2312"/>
          <w:bCs/>
          <w:szCs w:val="32"/>
        </w:rPr>
        <w:t>中心预算绩效管理工作主要按照区财政部门有关通知文件组织开展，在落实预算绩效管理工作过程中，相关通知文件内容相对粗放，中心在开展重点项目绩效评价的过程中，针对项目评估深入程度、评估具体范围、评价指标设定要求等方面相对模糊，缺乏优秀案例可参考，建议区财政部门加强业务指导，提供更深入的、可参考落实的重点项目绩效评价做法。</w:t>
      </w:r>
    </w:p>
    <w:p>
      <w:pPr>
        <w:spacing w:line="560" w:lineRule="exact"/>
        <w:ind w:firstLine="640" w:firstLineChars="200"/>
        <w:outlineLvl w:val="0"/>
        <w:rPr>
          <w:rFonts w:ascii="黑体" w:hAnsi="黑体" w:eastAsia="黑体"/>
          <w:szCs w:val="32"/>
        </w:rPr>
      </w:pPr>
      <w:bookmarkStart w:id="0" w:name="_Hlk68862660"/>
      <w:r>
        <w:rPr>
          <w:rFonts w:hint="eastAsia" w:ascii="黑体" w:hAnsi="黑体" w:eastAsia="黑体"/>
          <w:szCs w:val="32"/>
        </w:rPr>
        <w:t>四、部门整体支出绩效评价指标评分情况</w:t>
      </w:r>
    </w:p>
    <w:p>
      <w:pPr>
        <w:spacing w:line="560" w:lineRule="exact"/>
        <w:ind w:firstLine="640" w:firstLineChars="200"/>
      </w:pPr>
      <w:r>
        <w:rPr>
          <w:rFonts w:hint="eastAsia" w:ascii="仿宋_GB2312"/>
          <w:szCs w:val="32"/>
        </w:rPr>
        <w:t>中心参照《部门整体支出绩效评价共性指标体系框架》开展2</w:t>
      </w:r>
      <w:r>
        <w:rPr>
          <w:rFonts w:ascii="仿宋_GB2312"/>
          <w:szCs w:val="32"/>
        </w:rPr>
        <w:t>021</w:t>
      </w:r>
      <w:r>
        <w:rPr>
          <w:rFonts w:hint="eastAsia" w:ascii="仿宋_GB2312"/>
          <w:szCs w:val="32"/>
        </w:rPr>
        <w:t>年部门整体支出绩效自评工作，中心202</w:t>
      </w:r>
      <w:r>
        <w:rPr>
          <w:rFonts w:ascii="仿宋_GB2312"/>
          <w:szCs w:val="32"/>
        </w:rPr>
        <w:t>1</w:t>
      </w:r>
      <w:r>
        <w:rPr>
          <w:rFonts w:hint="eastAsia" w:ascii="仿宋_GB2312"/>
          <w:szCs w:val="32"/>
        </w:rPr>
        <w:t>年度评分结果为</w:t>
      </w:r>
      <w:r>
        <w:rPr>
          <w:rFonts w:ascii="仿宋_GB2312"/>
          <w:szCs w:val="32"/>
        </w:rPr>
        <w:t>95.49</w:t>
      </w:r>
      <w:r>
        <w:rPr>
          <w:rFonts w:hint="eastAsia" w:ascii="仿宋_GB2312"/>
          <w:szCs w:val="32"/>
        </w:rPr>
        <w:t>分，具体评分情况见附件。</w:t>
      </w:r>
      <w:bookmarkEnd w:id="0"/>
    </w:p>
    <w:p>
      <w:p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580" w:lineRule="exact"/>
        <w:rPr>
          <w:rFonts w:ascii="黑体" w:hAnsi="黑体" w:eastAsia="黑体" w:cs="黑体"/>
          <w:szCs w:val="32"/>
        </w:rPr>
      </w:pPr>
      <w:r>
        <w:rPr>
          <w:rFonts w:hint="eastAsia" w:ascii="黑体" w:hAnsi="黑体" w:eastAsia="黑体" w:cs="黑体"/>
          <w:szCs w:val="32"/>
        </w:rPr>
        <w:t>附件：</w:t>
      </w:r>
    </w:p>
    <w:p>
      <w:pPr>
        <w:tabs>
          <w:tab w:val="center" w:pos="6979"/>
        </w:tabs>
        <w:spacing w:line="620" w:lineRule="exact"/>
        <w:jc w:val="center"/>
        <w:rPr>
          <w:sz w:val="28"/>
          <w:szCs w:val="28"/>
        </w:rPr>
      </w:pPr>
      <w:r>
        <w:rPr>
          <w:rFonts w:hint="eastAsia" w:ascii="方正小标宋简体" w:eastAsia="方正小标宋简体" w:cs="方正小标宋简体"/>
          <w:sz w:val="30"/>
          <w:szCs w:val="30"/>
        </w:rPr>
        <w:t>深圳市福田区国库支付中心202</w:t>
      </w:r>
      <w:r>
        <w:rPr>
          <w:rFonts w:ascii="方正小标宋简体" w:eastAsia="方正小标宋简体" w:cs="方正小标宋简体"/>
          <w:sz w:val="30"/>
          <w:szCs w:val="30"/>
        </w:rPr>
        <w:t>1</w:t>
      </w:r>
      <w:r>
        <w:rPr>
          <w:rFonts w:hint="eastAsia" w:ascii="方正小标宋简体" w:eastAsia="方正小标宋简体" w:cs="方正小标宋简体"/>
          <w:sz w:val="30"/>
          <w:szCs w:val="30"/>
        </w:rPr>
        <w:t>年度部门整体支出绩效自评得分情况表</w:t>
      </w:r>
    </w:p>
    <w:tbl>
      <w:tblPr>
        <w:tblStyle w:val="11"/>
        <w:tblW w:w="14995" w:type="dxa"/>
        <w:jc w:val="center"/>
        <w:tblLayout w:type="fixed"/>
        <w:tblCellMar>
          <w:top w:w="0" w:type="dxa"/>
          <w:left w:w="108" w:type="dxa"/>
          <w:bottom w:w="0" w:type="dxa"/>
          <w:right w:w="108" w:type="dxa"/>
        </w:tblCellMar>
      </w:tblPr>
      <w:tblGrid>
        <w:gridCol w:w="577"/>
        <w:gridCol w:w="567"/>
        <w:gridCol w:w="567"/>
        <w:gridCol w:w="567"/>
        <w:gridCol w:w="851"/>
        <w:gridCol w:w="567"/>
        <w:gridCol w:w="3181"/>
        <w:gridCol w:w="7229"/>
        <w:gridCol w:w="889"/>
      </w:tblGrid>
      <w:tr>
        <w:tblPrEx>
          <w:tblCellMar>
            <w:top w:w="0" w:type="dxa"/>
            <w:left w:w="108" w:type="dxa"/>
            <w:bottom w:w="0" w:type="dxa"/>
            <w:right w:w="108" w:type="dxa"/>
          </w:tblCellMar>
        </w:tblPrEx>
        <w:trPr>
          <w:trHeight w:val="180" w:hRule="atLeast"/>
          <w:tblHeader/>
          <w:jc w:val="center"/>
        </w:trPr>
        <w:tc>
          <w:tcPr>
            <w:tcW w:w="3696"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评价指标</w:t>
            </w:r>
          </w:p>
        </w:tc>
        <w:tc>
          <w:tcPr>
            <w:tcW w:w="3181" w:type="dxa"/>
            <w:vMerge w:val="restart"/>
            <w:tcBorders>
              <w:top w:val="single" w:color="auto" w:sz="4" w:space="0"/>
              <w:left w:val="nil"/>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指标说明</w:t>
            </w:r>
          </w:p>
        </w:tc>
        <w:tc>
          <w:tcPr>
            <w:tcW w:w="7229" w:type="dxa"/>
            <w:vMerge w:val="restart"/>
            <w:tcBorders>
              <w:top w:val="single" w:color="auto" w:sz="4" w:space="0"/>
              <w:left w:val="nil"/>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参考评分标准</w:t>
            </w:r>
          </w:p>
        </w:tc>
        <w:tc>
          <w:tcPr>
            <w:tcW w:w="889" w:type="dxa"/>
            <w:vMerge w:val="restart"/>
            <w:tcBorders>
              <w:top w:val="single" w:color="auto" w:sz="4" w:space="0"/>
              <w:left w:val="nil"/>
              <w:right w:val="single" w:color="auto" w:sz="4" w:space="0"/>
            </w:tcBorders>
            <w:vAlign w:val="center"/>
          </w:tcPr>
          <w:p>
            <w:pPr>
              <w:widowControl/>
              <w:spacing w:line="320" w:lineRule="exact"/>
              <w:jc w:val="center"/>
              <w:rPr>
                <w:rFonts w:cs="黑体"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自评</w:t>
            </w:r>
          </w:p>
          <w:p>
            <w:pPr>
              <w:widowControl/>
              <w:spacing w:line="320" w:lineRule="exact"/>
              <w:jc w:val="center"/>
              <w:rPr>
                <w:rFonts w:cs="黑体"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得分</w:t>
            </w:r>
          </w:p>
        </w:tc>
      </w:tr>
      <w:tr>
        <w:tblPrEx>
          <w:tblCellMar>
            <w:top w:w="0" w:type="dxa"/>
            <w:left w:w="108" w:type="dxa"/>
            <w:bottom w:w="0" w:type="dxa"/>
            <w:right w:w="108" w:type="dxa"/>
          </w:tblCellMar>
        </w:tblPrEx>
        <w:trPr>
          <w:trHeight w:val="463" w:hRule="atLeast"/>
          <w:tblHeader/>
          <w:jc w:val="center"/>
        </w:trPr>
        <w:tc>
          <w:tcPr>
            <w:tcW w:w="1144" w:type="dxa"/>
            <w:gridSpan w:val="2"/>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一级指标</w:t>
            </w:r>
          </w:p>
        </w:tc>
        <w:tc>
          <w:tcPr>
            <w:tcW w:w="1134" w:type="dxa"/>
            <w:gridSpan w:val="2"/>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二级指标</w:t>
            </w:r>
          </w:p>
        </w:tc>
        <w:tc>
          <w:tcPr>
            <w:tcW w:w="1418" w:type="dxa"/>
            <w:gridSpan w:val="2"/>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三级指标</w:t>
            </w:r>
          </w:p>
        </w:tc>
        <w:tc>
          <w:tcPr>
            <w:tcW w:w="3181" w:type="dxa"/>
            <w:vMerge w:val="continue"/>
            <w:tcBorders>
              <w:left w:val="nil"/>
              <w:right w:val="single" w:color="auto" w:sz="4" w:space="0"/>
            </w:tcBorders>
            <w:vAlign w:val="center"/>
          </w:tcPr>
          <w:p>
            <w:pPr>
              <w:spacing w:line="320" w:lineRule="exact"/>
              <w:jc w:val="center"/>
              <w:rPr>
                <w:rFonts w:asciiTheme="minorEastAsia" w:hAnsiTheme="minorEastAsia" w:eastAsiaTheme="minorEastAsia"/>
                <w:kern w:val="0"/>
                <w:sz w:val="22"/>
                <w:szCs w:val="22"/>
              </w:rPr>
            </w:pPr>
          </w:p>
        </w:tc>
        <w:tc>
          <w:tcPr>
            <w:tcW w:w="7229" w:type="dxa"/>
            <w:vMerge w:val="continue"/>
            <w:tcBorders>
              <w:left w:val="nil"/>
              <w:right w:val="single" w:color="auto" w:sz="4" w:space="0"/>
            </w:tcBorders>
            <w:vAlign w:val="center"/>
          </w:tcPr>
          <w:p>
            <w:pPr>
              <w:spacing w:line="320" w:lineRule="exact"/>
              <w:jc w:val="center"/>
              <w:rPr>
                <w:rFonts w:asciiTheme="minorEastAsia" w:hAnsiTheme="minorEastAsia" w:eastAsiaTheme="minorEastAsia"/>
                <w:kern w:val="0"/>
                <w:sz w:val="22"/>
                <w:szCs w:val="22"/>
              </w:rPr>
            </w:pPr>
          </w:p>
        </w:tc>
        <w:tc>
          <w:tcPr>
            <w:tcW w:w="889" w:type="dxa"/>
            <w:vMerge w:val="continue"/>
            <w:tcBorders>
              <w:left w:val="nil"/>
              <w:right w:val="single" w:color="auto" w:sz="4" w:space="0"/>
            </w:tcBorders>
            <w:vAlign w:val="center"/>
          </w:tcPr>
          <w:p>
            <w:pPr>
              <w:spacing w:line="320" w:lineRule="exact"/>
              <w:jc w:val="center"/>
              <w:rPr>
                <w:rFonts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180" w:hRule="atLeast"/>
          <w:tblHeader/>
          <w:jc w:val="center"/>
        </w:trPr>
        <w:tc>
          <w:tcPr>
            <w:tcW w:w="577"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名称</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参考分值</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名称</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参考分值</w:t>
            </w:r>
          </w:p>
        </w:tc>
        <w:tc>
          <w:tcPr>
            <w:tcW w:w="851"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名称</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cs="黑体" w:asciiTheme="minorEastAsia" w:hAnsiTheme="minorEastAsia" w:eastAsiaTheme="minorEastAsia"/>
                <w:b/>
                <w:bCs/>
                <w:kern w:val="0"/>
                <w:sz w:val="22"/>
                <w:szCs w:val="22"/>
              </w:rPr>
              <w:t>参考分值</w:t>
            </w:r>
          </w:p>
        </w:tc>
        <w:tc>
          <w:tcPr>
            <w:tcW w:w="3181" w:type="dxa"/>
            <w:vMerge w:val="continue"/>
            <w:tcBorders>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p>
        </w:tc>
        <w:tc>
          <w:tcPr>
            <w:tcW w:w="7229" w:type="dxa"/>
            <w:vMerge w:val="continue"/>
            <w:tcBorders>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p>
        </w:tc>
        <w:tc>
          <w:tcPr>
            <w:tcW w:w="889" w:type="dxa"/>
            <w:vMerge w:val="continue"/>
            <w:tcBorders>
              <w:left w:val="nil"/>
              <w:bottom w:val="single" w:color="auto" w:sz="4" w:space="0"/>
              <w:right w:val="single" w:color="auto" w:sz="4" w:space="0"/>
            </w:tcBorders>
            <w:vAlign w:val="center"/>
          </w:tcPr>
          <w:p>
            <w:pPr>
              <w:widowControl/>
              <w:spacing w:line="320" w:lineRule="exact"/>
              <w:ind w:right="5552" w:rightChars="1735"/>
              <w:jc w:val="center"/>
              <w:rPr>
                <w:rFonts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1942" w:hRule="atLeast"/>
          <w:jc w:val="center"/>
        </w:trPr>
        <w:tc>
          <w:tcPr>
            <w:tcW w:w="57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部门决策</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20</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预算编制</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851" w:type="dxa"/>
            <w:tcBorders>
              <w:top w:val="nil"/>
              <w:left w:val="nil"/>
              <w:bottom w:val="single" w:color="auto" w:sz="4" w:space="0"/>
              <w:right w:val="single" w:color="auto" w:sz="4" w:space="0"/>
            </w:tcBorders>
            <w:vAlign w:val="center"/>
          </w:tcPr>
          <w:p>
            <w:pPr>
              <w:widowControl/>
              <w:spacing w:line="30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预算编制规范性</w:t>
            </w:r>
          </w:p>
        </w:tc>
        <w:tc>
          <w:tcPr>
            <w:tcW w:w="567" w:type="dxa"/>
            <w:tcBorders>
              <w:top w:val="nil"/>
              <w:left w:val="nil"/>
              <w:bottom w:val="single" w:color="auto" w:sz="4" w:space="0"/>
              <w:right w:val="single" w:color="auto" w:sz="4" w:space="0"/>
            </w:tcBorders>
            <w:vAlign w:val="center"/>
          </w:tcPr>
          <w:p>
            <w:pPr>
              <w:widowControl/>
              <w:spacing w:line="30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3181" w:type="dxa"/>
            <w:tcBorders>
              <w:top w:val="nil"/>
              <w:left w:val="nil"/>
              <w:bottom w:val="single" w:color="auto" w:sz="4" w:space="0"/>
              <w:right w:val="single" w:color="auto" w:sz="4" w:space="0"/>
            </w:tcBorders>
            <w:vAlign w:val="center"/>
          </w:tcPr>
          <w:p>
            <w:pPr>
              <w:widowControl/>
              <w:spacing w:line="30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部门（单位）预算编制是否符合财政部门当年度关于预算编制在规范性、完整性、细化程度等方面的原则和要求。</w:t>
            </w:r>
          </w:p>
        </w:tc>
        <w:tc>
          <w:tcPr>
            <w:tcW w:w="7229" w:type="dxa"/>
            <w:tcBorders>
              <w:top w:val="nil"/>
              <w:left w:val="nil"/>
              <w:bottom w:val="single" w:color="auto" w:sz="4" w:space="0"/>
              <w:right w:val="single" w:color="auto" w:sz="4" w:space="0"/>
            </w:tcBorders>
            <w:vAlign w:val="center"/>
          </w:tcPr>
          <w:p>
            <w:pPr>
              <w:widowControl/>
              <w:spacing w:line="300" w:lineRule="exac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部门（单位）预算编制符合财政部门当年度关于预算编制的各项原则和要求，符合专项资金预算编制、项目库管理、新增项目事前绩效评估等要求（</w:t>
            </w:r>
            <w:r>
              <w:rPr>
                <w:rFonts w:cs="宋体" w:asciiTheme="minorEastAsia" w:hAnsiTheme="minorEastAsia" w:eastAsiaTheme="minorEastAsia"/>
                <w:kern w:val="0"/>
                <w:sz w:val="22"/>
                <w:szCs w:val="22"/>
              </w:rPr>
              <w:t>5</w:t>
            </w:r>
            <w:r>
              <w:rPr>
                <w:rFonts w:hint="eastAsia" w:cs="宋体" w:asciiTheme="minorEastAsia" w:hAnsiTheme="minorEastAsia" w:eastAsiaTheme="minorEastAsia"/>
                <w:kern w:val="0"/>
                <w:sz w:val="22"/>
                <w:szCs w:val="22"/>
              </w:rPr>
              <w:t>分）；</w:t>
            </w:r>
          </w:p>
          <w:p>
            <w:pPr>
              <w:widowControl/>
              <w:spacing w:line="300" w:lineRule="exact"/>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发现一项不符合的扣</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分，扣完为止。</w:t>
            </w:r>
          </w:p>
          <w:p>
            <w:pPr>
              <w:widowControl/>
              <w:spacing w:line="30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本指标需对照相应年度由财政部门印发的部门预算编制工作方案、通知和有关制度文件，根据实际情况评分。</w:t>
            </w:r>
          </w:p>
        </w:tc>
        <w:tc>
          <w:tcPr>
            <w:tcW w:w="889" w:type="dxa"/>
            <w:tcBorders>
              <w:top w:val="nil"/>
              <w:left w:val="nil"/>
              <w:bottom w:val="single" w:color="auto" w:sz="4" w:space="0"/>
              <w:right w:val="single" w:color="auto" w:sz="4" w:space="0"/>
            </w:tcBorders>
            <w:vAlign w:val="center"/>
          </w:tcPr>
          <w:p>
            <w:pPr>
              <w:widowControl/>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375"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asciiTheme="minorEastAsia" w:hAnsiTheme="minorEastAsia" w:eastAsiaTheme="minorEastAsia"/>
                <w:kern w:val="0"/>
                <w:sz w:val="22"/>
                <w:szCs w:val="22"/>
              </w:rPr>
            </w:pPr>
          </w:p>
        </w:tc>
        <w:tc>
          <w:tcPr>
            <w:tcW w:w="851" w:type="dxa"/>
            <w:tcBorders>
              <w:top w:val="nil"/>
              <w:left w:val="nil"/>
              <w:bottom w:val="single" w:color="auto" w:sz="4" w:space="0"/>
              <w:right w:val="single" w:color="auto" w:sz="4" w:space="0"/>
            </w:tcBorders>
            <w:vAlign w:val="center"/>
          </w:tcPr>
          <w:p>
            <w:pPr>
              <w:widowControl/>
              <w:spacing w:line="3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预算编制合理性</w:t>
            </w:r>
          </w:p>
        </w:tc>
        <w:tc>
          <w:tcPr>
            <w:tcW w:w="567" w:type="dxa"/>
            <w:tcBorders>
              <w:top w:val="nil"/>
              <w:left w:val="nil"/>
              <w:bottom w:val="single" w:color="auto" w:sz="4" w:space="0"/>
              <w:right w:val="single" w:color="auto" w:sz="4" w:space="0"/>
            </w:tcBorders>
            <w:vAlign w:val="center"/>
          </w:tcPr>
          <w:p>
            <w:pPr>
              <w:widowControl/>
              <w:spacing w:line="30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c>
          <w:tcPr>
            <w:tcW w:w="3181" w:type="dxa"/>
            <w:tcBorders>
              <w:top w:val="nil"/>
              <w:left w:val="nil"/>
              <w:bottom w:val="single" w:color="auto" w:sz="4" w:space="0"/>
              <w:right w:val="single" w:color="auto" w:sz="4" w:space="0"/>
            </w:tcBorders>
            <w:vAlign w:val="center"/>
          </w:tcPr>
          <w:p>
            <w:pPr>
              <w:widowControl/>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部门（单位）预算的合理性，即是否符合本部门职责、是否符合市委市政府的方针政策和工作要求，资金有无根据项目的轻重缓急进行分配。</w:t>
            </w:r>
          </w:p>
        </w:tc>
        <w:tc>
          <w:tcPr>
            <w:tcW w:w="7229" w:type="dxa"/>
            <w:tcBorders>
              <w:top w:val="nil"/>
              <w:left w:val="nil"/>
              <w:bottom w:val="single" w:color="auto" w:sz="4" w:space="0"/>
              <w:right w:val="single" w:color="auto" w:sz="4" w:space="0"/>
            </w:tcBorders>
          </w:tcPr>
          <w:p>
            <w:pPr>
              <w:widowControl/>
              <w:spacing w:line="300" w:lineRule="exact"/>
              <w:jc w:val="lef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部门预算编制、分配符合本部门职责、符合市委市政府方针政策和工作要求（</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部门预算资金能根据年度工作重点，在不同项目、不同用途之间合理分配（</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r>
              <w:rPr>
                <w:rFonts w:cs="宋体" w:asciiTheme="minorEastAsia" w:hAnsiTheme="minorEastAsia" w:eastAsiaTheme="minorEastAsia"/>
                <w:kern w:val="0"/>
                <w:sz w:val="22"/>
                <w:szCs w:val="22"/>
              </w:rPr>
              <w:t xml:space="preserve">                                                            </w:t>
            </w:r>
            <w:r>
              <w:rPr>
                <w:rFonts w:cs="宋体"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 xml:space="preserve"> 3.</w:t>
            </w:r>
            <w:r>
              <w:rPr>
                <w:rFonts w:hint="eastAsia" w:cs="宋体" w:asciiTheme="minorEastAsia" w:hAnsiTheme="minorEastAsia" w:eastAsiaTheme="minorEastAsia"/>
                <w:kern w:val="0"/>
                <w:sz w:val="22"/>
                <w:szCs w:val="22"/>
              </w:rPr>
              <w:t>专项资金预算编制细化程度合理，未出现因年中调剂导致部门预决算差异过大问题（</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r>
              <w:rPr>
                <w:rFonts w:cs="宋体" w:asciiTheme="minorEastAsia" w:hAnsiTheme="minorEastAsia" w:eastAsiaTheme="minorEastAsia"/>
                <w:kern w:val="0"/>
                <w:sz w:val="22"/>
                <w:szCs w:val="22"/>
              </w:rPr>
              <w:t xml:space="preserve">                                                                                       </w:t>
            </w:r>
            <w:r>
              <w:rPr>
                <w:rFonts w:cs="宋体"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 xml:space="preserve"> 4.</w:t>
            </w:r>
            <w:r>
              <w:rPr>
                <w:rFonts w:hint="eastAsia" w:cs="宋体" w:asciiTheme="minorEastAsia" w:hAnsiTheme="minorEastAsia" w:eastAsiaTheme="minorEastAsia"/>
                <w:kern w:val="0"/>
                <w:sz w:val="22"/>
                <w:szCs w:val="22"/>
              </w:rPr>
              <w:t>功能分类和经济分类编制准确，年度中间无大量调剂，未发生项目之间频繁调剂（</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 xml:space="preserve"> 5.</w:t>
            </w:r>
            <w:r>
              <w:rPr>
                <w:rFonts w:hint="eastAsia" w:cs="宋体" w:asciiTheme="minorEastAsia" w:hAnsiTheme="minorEastAsia" w:eastAsiaTheme="minorEastAsia"/>
                <w:kern w:val="0"/>
                <w:sz w:val="22"/>
                <w:szCs w:val="22"/>
              </w:rPr>
              <w:t>部门预算分配不固化，能根据实际情况合理调整，不存在项目支出进度慢、完成率低、绩效较差，但连年持续安排预算等不合理的情况（</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p>
        </w:tc>
        <w:tc>
          <w:tcPr>
            <w:tcW w:w="889" w:type="dxa"/>
            <w:tcBorders>
              <w:top w:val="nil"/>
              <w:left w:val="nil"/>
              <w:bottom w:val="single" w:color="auto" w:sz="4" w:space="0"/>
              <w:right w:val="single" w:color="auto" w:sz="4" w:space="0"/>
            </w:tcBorders>
            <w:vAlign w:val="center"/>
          </w:tcPr>
          <w:p>
            <w:pPr>
              <w:widowControl/>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1367"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目标设置</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10</w:t>
            </w: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绩效目标完整性</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3</w:t>
            </w:r>
          </w:p>
        </w:tc>
        <w:tc>
          <w:tcPr>
            <w:tcW w:w="3181"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部门（单位）是否按要求编报项目绩效目标，是否依据充分、内容完整、覆盖全面、符合实际。</w:t>
            </w:r>
          </w:p>
        </w:tc>
        <w:tc>
          <w:tcPr>
            <w:tcW w:w="7229"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1.部门（单位）按要求编报部门整体和项目的绩效目标，实现绩效目标全覆盖（</w:t>
            </w:r>
            <w:r>
              <w:rPr>
                <w:rFonts w:cs="宋体" w:asciiTheme="minorEastAsia" w:hAnsiTheme="minorEastAsia" w:eastAsiaTheme="minorEastAsia"/>
                <w:kern w:val="0"/>
                <w:sz w:val="22"/>
                <w:szCs w:val="22"/>
              </w:rPr>
              <w:t>8</w:t>
            </w:r>
            <w:r>
              <w:rPr>
                <w:rFonts w:hint="eastAsia" w:cs="宋体" w:asciiTheme="minorEastAsia" w:hAnsiTheme="minorEastAsia" w:eastAsiaTheme="minorEastAsia"/>
                <w:kern w:val="0"/>
                <w:sz w:val="22"/>
                <w:szCs w:val="22"/>
              </w:rPr>
              <w:t>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2.没按要求编报绩效目标或绩效目标不符合要求的，一项扣</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分，扣完为止。</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p>
        </w:tc>
      </w:tr>
      <w:tr>
        <w:tblPrEx>
          <w:tblCellMar>
            <w:top w:w="0" w:type="dxa"/>
            <w:left w:w="108" w:type="dxa"/>
            <w:bottom w:w="0" w:type="dxa"/>
            <w:right w:w="108" w:type="dxa"/>
          </w:tblCellMar>
        </w:tblPrEx>
        <w:trPr>
          <w:trHeight w:val="1419"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绩效指标明确性</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7</w:t>
            </w:r>
          </w:p>
        </w:tc>
        <w:tc>
          <w:tcPr>
            <w:tcW w:w="3181"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部门（单位）设定的绩效指标是否清晰、细化、可量化，用以反映和考核部门（单位）整体绩效目标的明细化情况。</w:t>
            </w:r>
          </w:p>
        </w:tc>
        <w:tc>
          <w:tcPr>
            <w:tcW w:w="7229"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绩效指标将部门整体绩效目标细化分解为具体工作任务，与部门年度任务数或计划数相对应（2分）；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2.绩效指标中包含能够明确体现部门（单位）履职效果的社会、经济、生态效益指标（2分）；</w:t>
            </w:r>
            <w:r>
              <w:rPr>
                <w:rFonts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3.绩效指标具有清晰、可衡量的指标值（</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r>
              <w:rPr>
                <w:rFonts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4</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绩效指标包含可量化的指标（</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p>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绩效目标的目标值测算能提供相关依据或符合客观实际情况（</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7</w:t>
            </w:r>
          </w:p>
        </w:tc>
      </w:tr>
      <w:tr>
        <w:tblPrEx>
          <w:tblCellMar>
            <w:top w:w="0" w:type="dxa"/>
            <w:left w:w="108" w:type="dxa"/>
            <w:bottom w:w="0" w:type="dxa"/>
            <w:right w:w="108" w:type="dxa"/>
          </w:tblCellMar>
        </w:tblPrEx>
        <w:trPr>
          <w:trHeight w:val="1359" w:hRule="atLeast"/>
          <w:jc w:val="center"/>
        </w:trPr>
        <w:tc>
          <w:tcPr>
            <w:tcW w:w="57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部门管理</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20</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资金管理</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8</w:t>
            </w:r>
          </w:p>
        </w:tc>
        <w:tc>
          <w:tcPr>
            <w:tcW w:w="85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政府采购执行情况</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p>
        </w:tc>
        <w:tc>
          <w:tcPr>
            <w:tcW w:w="3181" w:type="dxa"/>
            <w:tcBorders>
              <w:top w:val="single" w:color="auto" w:sz="4" w:space="0"/>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部门（单位）本年度实际政府采购金额与年度政府采购预算的比率，用以反映和考核部门（单位）政府采购预算执行情况；政府采购政策功能的执行和落实情况。</w:t>
            </w:r>
          </w:p>
        </w:tc>
        <w:tc>
          <w:tcPr>
            <w:tcW w:w="7229" w:type="dxa"/>
            <w:tcBorders>
              <w:top w:val="single" w:color="auto" w:sz="4" w:space="0"/>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1.政府采购执行率得分</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政府采购执行率×1分</w:t>
            </w:r>
            <w:r>
              <w:rPr>
                <w:rFonts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政府采购执行率</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（实际采购金额合计数</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采购计划金额合计数）×</w:t>
            </w:r>
            <w:r>
              <w:rPr>
                <w:rFonts w:cs="宋体" w:asciiTheme="minorEastAsia" w:hAnsiTheme="minorEastAsia" w:eastAsiaTheme="minorEastAsia"/>
                <w:kern w:val="0"/>
                <w:sz w:val="22"/>
                <w:szCs w:val="22"/>
              </w:rPr>
              <w:t>100%</w:t>
            </w:r>
            <w:r>
              <w:rPr>
                <w:rFonts w:cs="宋体"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如实际采购金额大于采购计划金额，本项得0分。</w:t>
            </w:r>
            <w:r>
              <w:rPr>
                <w:rFonts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政府采购预算是指采购机关根据事业发展计划和行政任务编制的、并经过规定程序批准的年度政府采购计划。</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2.政府采购政策功能的执行和落实情况（1分），落实不到位的酌情扣分。</w:t>
            </w:r>
          </w:p>
        </w:tc>
        <w:tc>
          <w:tcPr>
            <w:tcW w:w="88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r>
              <w:rPr>
                <w:rFonts w:cs="宋体" w:asciiTheme="minorEastAsia" w:hAnsiTheme="minorEastAsia" w:eastAsiaTheme="minorEastAsia"/>
                <w:kern w:val="0"/>
                <w:sz w:val="22"/>
                <w:szCs w:val="22"/>
              </w:rPr>
              <w:t>.81</w:t>
            </w:r>
          </w:p>
        </w:tc>
      </w:tr>
      <w:tr>
        <w:tblPrEx>
          <w:tblCellMar>
            <w:top w:w="0" w:type="dxa"/>
            <w:left w:w="108" w:type="dxa"/>
            <w:bottom w:w="0" w:type="dxa"/>
            <w:right w:w="108" w:type="dxa"/>
          </w:tblCellMar>
        </w:tblPrEx>
        <w:trPr>
          <w:trHeight w:val="1819"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p>
        </w:tc>
        <w:tc>
          <w:tcPr>
            <w:tcW w:w="851" w:type="dxa"/>
            <w:tcBorders>
              <w:top w:val="single" w:color="auto" w:sz="4" w:space="0"/>
              <w:left w:val="nil"/>
              <w:bottom w:val="single" w:color="auto" w:sz="4" w:space="0"/>
              <w:right w:val="single" w:color="auto" w:sz="4" w:space="0"/>
            </w:tcBorders>
            <w:vAlign w:val="center"/>
          </w:tcPr>
          <w:p>
            <w:pPr>
              <w:widowControl/>
              <w:spacing w:line="32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预决算信息公开</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c>
          <w:tcPr>
            <w:tcW w:w="3181" w:type="dxa"/>
            <w:tcBorders>
              <w:top w:val="single" w:color="auto" w:sz="4" w:space="0"/>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部门（单位）在被评价年度是否按照政府信息公开有关规定公开相关预决算信息，用以反映部门（单位）预决算管理的公开透明情况。</w:t>
            </w:r>
          </w:p>
        </w:tc>
        <w:tc>
          <w:tcPr>
            <w:tcW w:w="7229" w:type="dxa"/>
            <w:tcBorders>
              <w:top w:val="single" w:color="auto" w:sz="4" w:space="0"/>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部门预算公开（1.5分），按以下标准分档计分：</w:t>
            </w:r>
            <w:r>
              <w:rPr>
                <w:rFonts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）按规定内容、时限、范围等各项要求进行公开的，得1.5分。</w:t>
            </w:r>
            <w:r>
              <w:rPr>
                <w:rFonts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w:t>
            </w: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）进行了公开，存在不符合时限、内容、范围等要求的，得</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r>
              <w:rPr>
                <w:rFonts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w:t>
            </w:r>
            <w:r>
              <w:rPr>
                <w:rFonts w:cs="宋体" w:asciiTheme="minorEastAsia" w:hAnsiTheme="minorEastAsia" w:eastAsiaTheme="minorEastAsia"/>
                <w:kern w:val="0"/>
                <w:sz w:val="22"/>
                <w:szCs w:val="22"/>
              </w:rPr>
              <w:t>3</w:t>
            </w:r>
            <w:r>
              <w:rPr>
                <w:rFonts w:hint="eastAsia" w:cs="宋体" w:asciiTheme="minorEastAsia" w:hAnsiTheme="minorEastAsia" w:eastAsiaTheme="minorEastAsia"/>
                <w:kern w:val="0"/>
                <w:sz w:val="22"/>
                <w:szCs w:val="22"/>
              </w:rPr>
              <w:t>）没有进行公开的，得</w:t>
            </w:r>
            <w:r>
              <w:rPr>
                <w:rFonts w:cs="宋体" w:asciiTheme="minorEastAsia" w:hAnsiTheme="minorEastAsia" w:eastAsiaTheme="minorEastAsia"/>
                <w:kern w:val="0"/>
                <w:sz w:val="22"/>
                <w:szCs w:val="22"/>
              </w:rPr>
              <w:t>0</w:t>
            </w:r>
            <w:r>
              <w:rPr>
                <w:rFonts w:hint="eastAsia" w:cs="宋体" w:asciiTheme="minorEastAsia" w:hAnsiTheme="minorEastAsia" w:eastAsiaTheme="minorEastAsia"/>
                <w:kern w:val="0"/>
                <w:sz w:val="22"/>
                <w:szCs w:val="22"/>
              </w:rPr>
              <w:t>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部门决算公开（1.5分），按以下标准分档计分：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）按规定内容、时限、范围等各项要求进行公开的，得1.5分。</w:t>
            </w:r>
            <w:r>
              <w:rPr>
                <w:rFonts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w:t>
            </w: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）进行了公开，存在不符合时限、内容、范围等要求的，得</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r>
              <w:rPr>
                <w:rFonts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w:t>
            </w:r>
            <w:r>
              <w:rPr>
                <w:rFonts w:cs="宋体" w:asciiTheme="minorEastAsia" w:hAnsiTheme="minorEastAsia" w:eastAsiaTheme="minorEastAsia"/>
                <w:kern w:val="0"/>
                <w:sz w:val="22"/>
                <w:szCs w:val="22"/>
              </w:rPr>
              <w:t>3</w:t>
            </w:r>
            <w:r>
              <w:rPr>
                <w:rFonts w:hint="eastAsia" w:cs="宋体" w:asciiTheme="minorEastAsia" w:hAnsiTheme="minorEastAsia" w:eastAsiaTheme="minorEastAsia"/>
                <w:kern w:val="0"/>
                <w:sz w:val="22"/>
                <w:szCs w:val="22"/>
              </w:rPr>
              <w:t>）没有进行公开的，得</w:t>
            </w:r>
            <w:r>
              <w:rPr>
                <w:rFonts w:cs="宋体" w:asciiTheme="minorEastAsia" w:hAnsiTheme="minorEastAsia" w:eastAsiaTheme="minorEastAsia"/>
                <w:kern w:val="0"/>
                <w:sz w:val="22"/>
                <w:szCs w:val="22"/>
              </w:rPr>
              <w:t>0</w:t>
            </w:r>
            <w:r>
              <w:rPr>
                <w:rFonts w:hint="eastAsia" w:cs="宋体" w:asciiTheme="minorEastAsia" w:hAnsiTheme="minorEastAsia" w:eastAsiaTheme="minorEastAsia"/>
                <w:kern w:val="0"/>
                <w:sz w:val="22"/>
                <w:szCs w:val="22"/>
              </w:rPr>
              <w:t>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3.涉密部门（单位）按规定不需要公开相关预决算信息的直接得分。</w:t>
            </w:r>
          </w:p>
        </w:tc>
        <w:tc>
          <w:tcPr>
            <w:tcW w:w="88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r>
      <w:tr>
        <w:tblPrEx>
          <w:tblCellMar>
            <w:top w:w="0" w:type="dxa"/>
            <w:left w:w="108" w:type="dxa"/>
            <w:bottom w:w="0" w:type="dxa"/>
            <w:right w:w="108" w:type="dxa"/>
          </w:tblCellMar>
        </w:tblPrEx>
        <w:trPr>
          <w:trHeight w:val="1819"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p>
        </w:tc>
        <w:tc>
          <w:tcPr>
            <w:tcW w:w="851"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财务合规性</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c>
          <w:tcPr>
            <w:tcW w:w="3181" w:type="dxa"/>
            <w:tcBorders>
              <w:top w:val="single" w:color="auto" w:sz="4" w:space="0"/>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7229" w:type="dxa"/>
            <w:tcBorders>
              <w:top w:val="single" w:color="auto" w:sz="4" w:space="0"/>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资金支出规范性（1分）。资金管理、费用标准、支付符合有关制度规定，按事项完成进度支付资金的，得1分，否则酌情扣分。</w:t>
            </w:r>
            <w:r>
              <w:rPr>
                <w:rFonts w:asciiTheme="minorEastAsia" w:hAnsiTheme="minorEastAsia" w:eastAsiaTheme="minorEastAsia"/>
                <w:kern w:val="0"/>
                <w:sz w:val="22"/>
                <w:szCs w:val="22"/>
              </w:rPr>
              <w:br w:type="textWrapping"/>
            </w:r>
            <w:r>
              <w:rPr>
                <w:rFonts w:hint="eastAsia" w:cs="宋体" w:asciiTheme="minorEastAsia" w:hAnsiTheme="minorEastAsia" w:eastAsiaTheme="minorEastAsia"/>
                <w:kern w:val="0"/>
                <w:sz w:val="22"/>
                <w:szCs w:val="22"/>
              </w:rPr>
              <w:t>2.资金调整、调剂规范性（1分）。调整、调剂资金累计在本单位部门预算总规模10%以内的，得1分；超出10%的，超出一个百分点扣0.1分，直至1分扣完为止。</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3.会计核算规范性（1分）。规范执行会计核算制度得1分，未按规定设专账核算、支出凭证不符合规定或其他核算不规范，酌情扣分。</w:t>
            </w:r>
          </w:p>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4.发生超范围、超标准支出，虚列支出，截留、挤占、挪用资金的，以及其他不符合制度规定支出，本项指标得0分。</w:t>
            </w:r>
          </w:p>
        </w:tc>
        <w:tc>
          <w:tcPr>
            <w:tcW w:w="88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3</w:t>
            </w:r>
          </w:p>
        </w:tc>
      </w:tr>
      <w:tr>
        <w:tblPrEx>
          <w:tblCellMar>
            <w:top w:w="0" w:type="dxa"/>
            <w:left w:w="108" w:type="dxa"/>
            <w:bottom w:w="0" w:type="dxa"/>
            <w:right w:w="108" w:type="dxa"/>
          </w:tblCellMar>
        </w:tblPrEx>
        <w:trPr>
          <w:trHeight w:val="1491"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项目管理</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w:t>
            </w: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项目</w:t>
            </w:r>
          </w:p>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监管</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3181"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部门（单位）对所实施项目（包括部门主管的专项资金和专项经费分配给市、区实施的项目）的检查、监控、督促整改等管理情况。</w:t>
            </w:r>
          </w:p>
        </w:tc>
        <w:tc>
          <w:tcPr>
            <w:tcW w:w="7229"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资金使用单位、基层资金管理单位建立有效资金管理和绩效运行监控机制，且执行情况良好（1分）；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r>
      <w:tr>
        <w:tblPrEx>
          <w:tblCellMar>
            <w:top w:w="0" w:type="dxa"/>
            <w:left w:w="108" w:type="dxa"/>
            <w:bottom w:w="0" w:type="dxa"/>
            <w:right w:w="108" w:type="dxa"/>
          </w:tblCellMar>
        </w:tblPrEx>
        <w:trPr>
          <w:trHeight w:val="1527"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项目实施程序</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p>
        </w:tc>
        <w:tc>
          <w:tcPr>
            <w:tcW w:w="3181"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部门（单位）所有项目支出实施过程是否规范</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包括是否符合申报条件；申报、批复程序是否符合相关管理办法；项目招投标、调整、完成验收等是否履行相应手续等。</w:t>
            </w:r>
          </w:p>
        </w:tc>
        <w:tc>
          <w:tcPr>
            <w:tcW w:w="7229"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项目的设立、调整按规定履行报批程序（</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项目招投标、建设、验收以及方案实施均严格执行相关制度规定（</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r>
      <w:tr>
        <w:tblPrEx>
          <w:tblCellMar>
            <w:top w:w="0" w:type="dxa"/>
            <w:left w:w="108" w:type="dxa"/>
            <w:bottom w:w="0" w:type="dxa"/>
            <w:right w:w="108" w:type="dxa"/>
          </w:tblCellMar>
        </w:tblPrEx>
        <w:trPr>
          <w:trHeight w:val="1369"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资产管理</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资产管理安全性</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p>
        </w:tc>
        <w:tc>
          <w:tcPr>
            <w:tcW w:w="3181"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部门（单位）的资产是否保存完整、使用合规、配置合理、处置规范、收入及时足额上缴，用于反映和考核部门（单位）资产安全运行情况。</w:t>
            </w:r>
          </w:p>
        </w:tc>
        <w:tc>
          <w:tcPr>
            <w:tcW w:w="7229"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资产配置合理、保管完整，账实相符（</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资产处置规范，有偿使用及处置收入及时足额上缴（</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r>
      <w:tr>
        <w:tblPrEx>
          <w:tblCellMar>
            <w:top w:w="0" w:type="dxa"/>
            <w:left w:w="108" w:type="dxa"/>
            <w:bottom w:w="0" w:type="dxa"/>
            <w:right w:w="108" w:type="dxa"/>
          </w:tblCellMar>
        </w:tblPrEx>
        <w:trPr>
          <w:trHeight w:val="1314"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p>
        </w:tc>
        <w:tc>
          <w:tcPr>
            <w:tcW w:w="851" w:type="dxa"/>
            <w:tcBorders>
              <w:top w:val="nil"/>
              <w:left w:val="nil"/>
              <w:bottom w:val="single" w:color="auto" w:sz="4" w:space="0"/>
              <w:right w:val="single" w:color="auto" w:sz="4" w:space="0"/>
            </w:tcBorders>
            <w:vAlign w:val="center"/>
          </w:tcPr>
          <w:p>
            <w:pPr>
              <w:widowControl/>
              <w:spacing w:line="30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固定资产利用率</w:t>
            </w:r>
          </w:p>
        </w:tc>
        <w:tc>
          <w:tcPr>
            <w:tcW w:w="567" w:type="dxa"/>
            <w:tcBorders>
              <w:top w:val="nil"/>
              <w:left w:val="nil"/>
              <w:bottom w:val="single" w:color="auto" w:sz="4" w:space="0"/>
              <w:right w:val="single" w:color="auto" w:sz="4" w:space="0"/>
            </w:tcBorders>
            <w:vAlign w:val="center"/>
          </w:tcPr>
          <w:p>
            <w:pPr>
              <w:widowControl/>
              <w:spacing w:line="30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181" w:type="dxa"/>
            <w:tcBorders>
              <w:top w:val="nil"/>
              <w:left w:val="nil"/>
              <w:bottom w:val="single" w:color="auto" w:sz="4" w:space="0"/>
              <w:right w:val="single" w:color="auto" w:sz="4" w:space="0"/>
            </w:tcBorders>
            <w:vAlign w:val="center"/>
          </w:tcPr>
          <w:p>
            <w:pPr>
              <w:widowControl/>
              <w:spacing w:line="30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部门（单位）实际在用固定资产总额与所有固定资产总额的比例，用以反映和考核部门（单位）固定资产使用效率程度。</w:t>
            </w:r>
          </w:p>
        </w:tc>
        <w:tc>
          <w:tcPr>
            <w:tcW w:w="7229" w:type="dxa"/>
            <w:tcBorders>
              <w:top w:val="nil"/>
              <w:left w:val="nil"/>
              <w:bottom w:val="single" w:color="auto" w:sz="4" w:space="0"/>
              <w:right w:val="single" w:color="auto" w:sz="4" w:space="0"/>
            </w:tcBorders>
            <w:vAlign w:val="center"/>
          </w:tcPr>
          <w:p>
            <w:pPr>
              <w:widowControl/>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固定资产利用率=（实际在用固定资产总额/所有固定资产总额）×</w:t>
            </w:r>
            <w:r>
              <w:rPr>
                <w:rFonts w:cs="宋体" w:asciiTheme="minorEastAsia" w:hAnsiTheme="minorEastAsia" w:eastAsiaTheme="minorEastAsia"/>
                <w:kern w:val="0"/>
                <w:sz w:val="22"/>
                <w:szCs w:val="22"/>
              </w:rPr>
              <w:t xml:space="preserve">100%    </w:t>
            </w:r>
          </w:p>
          <w:p>
            <w:pPr>
              <w:widowControl/>
              <w:spacing w:line="300" w:lineRule="exac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固定资产利用率≥</w:t>
            </w:r>
            <w:r>
              <w:rPr>
                <w:rFonts w:cs="宋体" w:asciiTheme="minorEastAsia" w:hAnsiTheme="minorEastAsia" w:eastAsiaTheme="minorEastAsia"/>
                <w:kern w:val="0"/>
                <w:sz w:val="22"/>
                <w:szCs w:val="22"/>
              </w:rPr>
              <w:t>90%</w:t>
            </w:r>
            <w:r>
              <w:rPr>
                <w:rFonts w:hint="eastAsia" w:cs="宋体" w:asciiTheme="minorEastAsia" w:hAnsiTheme="minorEastAsia" w:eastAsiaTheme="minorEastAsia"/>
                <w:kern w:val="0"/>
                <w:sz w:val="22"/>
                <w:szCs w:val="22"/>
              </w:rPr>
              <w:t>的，得1分；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2.90%</w:t>
            </w:r>
            <w:r>
              <w:rPr>
                <w:rFonts w:hint="eastAsia" w:cs="宋体" w:asciiTheme="minorEastAsia" w:hAnsiTheme="minorEastAsia" w:eastAsiaTheme="minorEastAsia"/>
                <w:kern w:val="0"/>
                <w:sz w:val="22"/>
                <w:szCs w:val="22"/>
              </w:rPr>
              <w:t>＞固定资产利用率≥</w:t>
            </w:r>
            <w:r>
              <w:rPr>
                <w:rFonts w:cs="宋体" w:asciiTheme="minorEastAsia" w:hAnsiTheme="minorEastAsia" w:eastAsiaTheme="minorEastAsia"/>
                <w:kern w:val="0"/>
                <w:sz w:val="22"/>
                <w:szCs w:val="22"/>
              </w:rPr>
              <w:t>75%</w:t>
            </w:r>
            <w:r>
              <w:rPr>
                <w:rFonts w:hint="eastAsia" w:cs="宋体" w:asciiTheme="minorEastAsia" w:hAnsiTheme="minorEastAsia" w:eastAsiaTheme="minorEastAsia"/>
                <w:kern w:val="0"/>
                <w:sz w:val="22"/>
                <w:szCs w:val="22"/>
              </w:rPr>
              <w:t>的，得0.7分；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3.75%</w:t>
            </w:r>
            <w:r>
              <w:rPr>
                <w:rFonts w:hint="eastAsia" w:cs="宋体" w:asciiTheme="minorEastAsia" w:hAnsiTheme="minorEastAsia" w:eastAsiaTheme="minorEastAsia"/>
                <w:kern w:val="0"/>
                <w:sz w:val="22"/>
                <w:szCs w:val="22"/>
              </w:rPr>
              <w:t>＞固定资产利用率≥</w:t>
            </w:r>
            <w:r>
              <w:rPr>
                <w:rFonts w:cs="宋体" w:asciiTheme="minorEastAsia" w:hAnsiTheme="minorEastAsia" w:eastAsiaTheme="minorEastAsia"/>
                <w:kern w:val="0"/>
                <w:sz w:val="22"/>
                <w:szCs w:val="22"/>
              </w:rPr>
              <w:t>60%</w:t>
            </w:r>
            <w:r>
              <w:rPr>
                <w:rFonts w:hint="eastAsia" w:cs="宋体" w:asciiTheme="minorEastAsia" w:hAnsiTheme="minorEastAsia" w:eastAsiaTheme="minorEastAsia"/>
                <w:kern w:val="0"/>
                <w:sz w:val="22"/>
                <w:szCs w:val="22"/>
              </w:rPr>
              <w:t>的，得</w:t>
            </w:r>
            <w:r>
              <w:rPr>
                <w:rFonts w:cs="宋体" w:asciiTheme="minorEastAsia" w:hAnsiTheme="minorEastAsia" w:eastAsiaTheme="minorEastAsia"/>
                <w:kern w:val="0"/>
                <w:sz w:val="22"/>
                <w:szCs w:val="22"/>
              </w:rPr>
              <w:t>0.</w:t>
            </w:r>
            <w:r>
              <w:rPr>
                <w:rFonts w:hint="eastAsia" w:cs="宋体" w:asciiTheme="minorEastAsia" w:hAnsiTheme="minorEastAsia" w:eastAsiaTheme="minorEastAsia"/>
                <w:kern w:val="0"/>
                <w:sz w:val="22"/>
                <w:szCs w:val="22"/>
              </w:rPr>
              <w:t>4分；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4.</w:t>
            </w:r>
            <w:r>
              <w:rPr>
                <w:rFonts w:hint="eastAsia" w:cs="宋体" w:asciiTheme="minorEastAsia" w:hAnsiTheme="minorEastAsia" w:eastAsiaTheme="minorEastAsia"/>
                <w:kern w:val="0"/>
                <w:sz w:val="22"/>
                <w:szCs w:val="22"/>
              </w:rPr>
              <w:t>固定资产利用率＜</w:t>
            </w:r>
            <w:r>
              <w:rPr>
                <w:rFonts w:cs="宋体" w:asciiTheme="minorEastAsia" w:hAnsiTheme="minorEastAsia" w:eastAsiaTheme="minorEastAsia"/>
                <w:kern w:val="0"/>
                <w:sz w:val="22"/>
                <w:szCs w:val="22"/>
              </w:rPr>
              <w:t>60%</w:t>
            </w:r>
            <w:r>
              <w:rPr>
                <w:rFonts w:hint="eastAsia" w:cs="宋体" w:asciiTheme="minorEastAsia" w:hAnsiTheme="minorEastAsia" w:eastAsiaTheme="minorEastAsia"/>
                <w:kern w:val="0"/>
                <w:sz w:val="22"/>
                <w:szCs w:val="22"/>
              </w:rPr>
              <w:t>的，得</w:t>
            </w:r>
            <w:r>
              <w:rPr>
                <w:rFonts w:cs="宋体" w:asciiTheme="minorEastAsia" w:hAnsiTheme="minorEastAsia" w:eastAsiaTheme="minorEastAsia"/>
                <w:kern w:val="0"/>
                <w:sz w:val="22"/>
                <w:szCs w:val="22"/>
              </w:rPr>
              <w:t>0</w:t>
            </w:r>
            <w:r>
              <w:rPr>
                <w:rFonts w:hint="eastAsia" w:cs="宋体" w:asciiTheme="minorEastAsia" w:hAnsiTheme="minorEastAsia" w:eastAsiaTheme="minorEastAsia"/>
                <w:kern w:val="0"/>
                <w:sz w:val="22"/>
                <w:szCs w:val="22"/>
              </w:rPr>
              <w:t>分。</w:t>
            </w:r>
          </w:p>
        </w:tc>
        <w:tc>
          <w:tcPr>
            <w:tcW w:w="889" w:type="dxa"/>
            <w:tcBorders>
              <w:top w:val="nil"/>
              <w:left w:val="nil"/>
              <w:bottom w:val="single" w:color="auto" w:sz="4" w:space="0"/>
              <w:right w:val="single" w:color="auto" w:sz="4" w:space="0"/>
            </w:tcBorders>
            <w:vAlign w:val="center"/>
          </w:tcPr>
          <w:p>
            <w:pPr>
              <w:widowControl/>
              <w:spacing w:line="30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0.7</w:t>
            </w:r>
          </w:p>
        </w:tc>
      </w:tr>
      <w:tr>
        <w:tblPrEx>
          <w:tblCellMar>
            <w:top w:w="0" w:type="dxa"/>
            <w:left w:w="108" w:type="dxa"/>
            <w:bottom w:w="0" w:type="dxa"/>
            <w:right w:w="108" w:type="dxa"/>
          </w:tblCellMar>
        </w:tblPrEx>
        <w:trPr>
          <w:trHeight w:val="1559"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restart"/>
            <w:tcBorders>
              <w:top w:val="single" w:color="auto" w:sz="4" w:space="0"/>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人员管理</w:t>
            </w:r>
          </w:p>
        </w:tc>
        <w:tc>
          <w:tcPr>
            <w:tcW w:w="567" w:type="dxa"/>
            <w:vMerge w:val="restart"/>
            <w:tcBorders>
              <w:top w:val="single" w:color="auto" w:sz="4" w:space="0"/>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851"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财政供养人员控制率</w:t>
            </w:r>
          </w:p>
        </w:tc>
        <w:tc>
          <w:tcPr>
            <w:tcW w:w="5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p>
        </w:tc>
        <w:tc>
          <w:tcPr>
            <w:tcW w:w="3181" w:type="dxa"/>
            <w:tcBorders>
              <w:top w:val="single" w:color="auto" w:sz="4" w:space="0"/>
              <w:left w:val="nil"/>
              <w:bottom w:val="single" w:color="auto" w:sz="4" w:space="0"/>
              <w:right w:val="single" w:color="auto" w:sz="4" w:space="0"/>
            </w:tcBorders>
            <w:vAlign w:val="center"/>
          </w:tcPr>
          <w:p>
            <w:pPr>
              <w:widowControl/>
              <w:spacing w:line="30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部门（单位）本年度在编人数（含工勤人员）与核定编制数（含工勤人员）的比率。</w:t>
            </w:r>
          </w:p>
        </w:tc>
        <w:tc>
          <w:tcPr>
            <w:tcW w:w="7229" w:type="dxa"/>
            <w:tcBorders>
              <w:top w:val="single" w:color="auto" w:sz="4" w:space="0"/>
              <w:left w:val="nil"/>
              <w:bottom w:val="single" w:color="auto" w:sz="4" w:space="0"/>
              <w:right w:val="single" w:color="auto" w:sz="4" w:space="0"/>
            </w:tcBorders>
            <w:vAlign w:val="center"/>
          </w:tcPr>
          <w:p>
            <w:pPr>
              <w:widowControl/>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财政供养人员控制率=本年度在编人数（含工勤人员）/核定编制数（含工勤人员）</w:t>
            </w:r>
          </w:p>
          <w:p>
            <w:pPr>
              <w:widowControl/>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1.财政供养人员控制率≤</w:t>
            </w:r>
            <w:r>
              <w:rPr>
                <w:rFonts w:cs="宋体" w:asciiTheme="minorEastAsia" w:hAnsiTheme="minorEastAsia" w:eastAsiaTheme="minorEastAsia"/>
                <w:kern w:val="0"/>
                <w:sz w:val="22"/>
                <w:szCs w:val="22"/>
              </w:rPr>
              <w:t>100%</w:t>
            </w:r>
            <w:r>
              <w:rPr>
                <w:rFonts w:hint="eastAsia" w:cs="宋体" w:asciiTheme="minorEastAsia" w:hAnsiTheme="minorEastAsia" w:eastAsiaTheme="minorEastAsia"/>
                <w:kern w:val="0"/>
                <w:sz w:val="22"/>
                <w:szCs w:val="22"/>
              </w:rPr>
              <w:t>的，得1分；</w:t>
            </w:r>
          </w:p>
          <w:p>
            <w:pPr>
              <w:widowControl/>
              <w:spacing w:line="300" w:lineRule="exact"/>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财政供养人员控制率＞</w:t>
            </w:r>
            <w:r>
              <w:rPr>
                <w:rFonts w:cs="宋体" w:asciiTheme="minorEastAsia" w:hAnsiTheme="minorEastAsia" w:eastAsiaTheme="minorEastAsia"/>
                <w:kern w:val="0"/>
                <w:sz w:val="22"/>
                <w:szCs w:val="22"/>
              </w:rPr>
              <w:t>100%</w:t>
            </w:r>
            <w:r>
              <w:rPr>
                <w:rFonts w:hint="eastAsia" w:cs="宋体" w:asciiTheme="minorEastAsia" w:hAnsiTheme="minorEastAsia" w:eastAsiaTheme="minorEastAsia"/>
                <w:kern w:val="0"/>
                <w:sz w:val="22"/>
                <w:szCs w:val="22"/>
              </w:rPr>
              <w:t>的，得0分。</w:t>
            </w:r>
          </w:p>
        </w:tc>
        <w:tc>
          <w:tcPr>
            <w:tcW w:w="88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r>
      <w:tr>
        <w:tblPrEx>
          <w:tblCellMar>
            <w:top w:w="0" w:type="dxa"/>
            <w:left w:w="108" w:type="dxa"/>
            <w:bottom w:w="0" w:type="dxa"/>
            <w:right w:w="108" w:type="dxa"/>
          </w:tblCellMar>
        </w:tblPrEx>
        <w:trPr>
          <w:trHeight w:val="1267"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single" w:color="auto" w:sz="4" w:space="0"/>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p>
        </w:tc>
        <w:tc>
          <w:tcPr>
            <w:tcW w:w="851"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编外人员控制率</w:t>
            </w:r>
          </w:p>
        </w:tc>
        <w:tc>
          <w:tcPr>
            <w:tcW w:w="5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3181" w:type="dxa"/>
            <w:tcBorders>
              <w:top w:val="single" w:color="auto" w:sz="4" w:space="0"/>
              <w:left w:val="nil"/>
              <w:bottom w:val="single" w:color="auto" w:sz="4" w:space="0"/>
              <w:right w:val="single" w:color="auto" w:sz="4" w:space="0"/>
            </w:tcBorders>
            <w:vAlign w:val="center"/>
          </w:tcPr>
          <w:p>
            <w:pPr>
              <w:widowControl/>
              <w:spacing w:line="30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部门（单位）本年度使用劳务派遣人员数量（含直接聘用的编外人员）与在职人员总数（在编</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编外）的比率。</w:t>
            </w:r>
          </w:p>
        </w:tc>
        <w:tc>
          <w:tcPr>
            <w:tcW w:w="7229" w:type="dxa"/>
            <w:tcBorders>
              <w:top w:val="single" w:color="auto" w:sz="4" w:space="0"/>
              <w:left w:val="nil"/>
              <w:bottom w:val="single" w:color="auto" w:sz="4" w:space="0"/>
              <w:right w:val="single" w:color="auto" w:sz="4" w:space="0"/>
            </w:tcBorders>
            <w:vAlign w:val="center"/>
          </w:tcPr>
          <w:p>
            <w:pPr>
              <w:widowControl/>
              <w:spacing w:line="300" w:lineRule="exact"/>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比率＜</w:t>
            </w:r>
            <w:r>
              <w:rPr>
                <w:rFonts w:cs="宋体" w:asciiTheme="minorEastAsia" w:hAnsiTheme="minorEastAsia" w:eastAsiaTheme="minorEastAsia"/>
                <w:kern w:val="0"/>
                <w:sz w:val="22"/>
                <w:szCs w:val="22"/>
              </w:rPr>
              <w:t>5%</w:t>
            </w:r>
            <w:r>
              <w:rPr>
                <w:rFonts w:hint="eastAsia" w:cs="宋体" w:asciiTheme="minorEastAsia" w:hAnsiTheme="minorEastAsia" w:eastAsiaTheme="minorEastAsia"/>
                <w:kern w:val="0"/>
                <w:sz w:val="22"/>
                <w:szCs w:val="22"/>
              </w:rPr>
              <w:t>的，得1分；</w:t>
            </w:r>
          </w:p>
          <w:p>
            <w:pPr>
              <w:widowControl/>
              <w:spacing w:line="300" w:lineRule="exact"/>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2.5%</w:t>
            </w:r>
            <w:r>
              <w:rPr>
                <w:rFonts w:hint="eastAsia" w:cs="宋体" w:asciiTheme="minorEastAsia" w:hAnsiTheme="minorEastAsia" w:eastAsiaTheme="minorEastAsia"/>
                <w:kern w:val="0"/>
                <w:sz w:val="22"/>
                <w:szCs w:val="22"/>
              </w:rPr>
              <w:t>≤比率≤</w:t>
            </w:r>
            <w:r>
              <w:rPr>
                <w:rFonts w:cs="宋体" w:asciiTheme="minorEastAsia" w:hAnsiTheme="minorEastAsia" w:eastAsiaTheme="minorEastAsia"/>
                <w:kern w:val="0"/>
                <w:sz w:val="22"/>
                <w:szCs w:val="22"/>
              </w:rPr>
              <w:t>10%</w:t>
            </w:r>
            <w:r>
              <w:rPr>
                <w:rFonts w:hint="eastAsia" w:cs="宋体" w:asciiTheme="minorEastAsia" w:hAnsiTheme="minorEastAsia" w:eastAsiaTheme="minorEastAsia"/>
                <w:kern w:val="0"/>
                <w:sz w:val="22"/>
                <w:szCs w:val="22"/>
              </w:rPr>
              <w:t>的，得0.5分；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3.</w:t>
            </w:r>
            <w:r>
              <w:rPr>
                <w:rFonts w:hint="eastAsia" w:cs="宋体" w:asciiTheme="minorEastAsia" w:hAnsiTheme="minorEastAsia" w:eastAsiaTheme="minorEastAsia"/>
                <w:kern w:val="0"/>
                <w:sz w:val="22"/>
                <w:szCs w:val="22"/>
              </w:rPr>
              <w:t>比率＞</w:t>
            </w:r>
            <w:r>
              <w:rPr>
                <w:rFonts w:cs="宋体" w:asciiTheme="minorEastAsia" w:hAnsiTheme="minorEastAsia" w:eastAsiaTheme="minorEastAsia"/>
                <w:kern w:val="0"/>
                <w:sz w:val="22"/>
                <w:szCs w:val="22"/>
              </w:rPr>
              <w:t>10%</w:t>
            </w:r>
            <w:r>
              <w:rPr>
                <w:rFonts w:hint="eastAsia" w:cs="宋体" w:asciiTheme="minorEastAsia" w:hAnsiTheme="minorEastAsia" w:eastAsiaTheme="minorEastAsia"/>
                <w:kern w:val="0"/>
                <w:sz w:val="22"/>
                <w:szCs w:val="22"/>
              </w:rPr>
              <w:t>的，得</w:t>
            </w:r>
            <w:r>
              <w:rPr>
                <w:rFonts w:cs="宋体" w:asciiTheme="minorEastAsia" w:hAnsiTheme="minorEastAsia" w:eastAsiaTheme="minorEastAsia"/>
                <w:kern w:val="0"/>
                <w:sz w:val="22"/>
                <w:szCs w:val="22"/>
              </w:rPr>
              <w:t>0</w:t>
            </w:r>
            <w:r>
              <w:rPr>
                <w:rFonts w:hint="eastAsia" w:cs="宋体" w:asciiTheme="minorEastAsia" w:hAnsiTheme="minorEastAsia" w:eastAsiaTheme="minorEastAsia"/>
                <w:kern w:val="0"/>
                <w:sz w:val="22"/>
                <w:szCs w:val="22"/>
              </w:rPr>
              <w:t>分。</w:t>
            </w:r>
          </w:p>
        </w:tc>
        <w:tc>
          <w:tcPr>
            <w:tcW w:w="88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0</w:t>
            </w:r>
          </w:p>
        </w:tc>
      </w:tr>
      <w:tr>
        <w:tblPrEx>
          <w:tblCellMar>
            <w:top w:w="0" w:type="dxa"/>
            <w:left w:w="108" w:type="dxa"/>
            <w:bottom w:w="0" w:type="dxa"/>
            <w:right w:w="108" w:type="dxa"/>
          </w:tblCellMar>
        </w:tblPrEx>
        <w:trPr>
          <w:trHeight w:val="1521"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制度管理</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c>
          <w:tcPr>
            <w:tcW w:w="851" w:type="dxa"/>
            <w:tcBorders>
              <w:top w:val="nil"/>
              <w:left w:val="nil"/>
              <w:bottom w:val="single" w:color="auto" w:sz="4" w:space="0"/>
              <w:right w:val="single" w:color="auto" w:sz="4" w:space="0"/>
            </w:tcBorders>
            <w:vAlign w:val="center"/>
          </w:tcPr>
          <w:p>
            <w:pPr>
              <w:widowControl/>
              <w:spacing w:line="30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管理制度健全性</w:t>
            </w:r>
          </w:p>
        </w:tc>
        <w:tc>
          <w:tcPr>
            <w:tcW w:w="567" w:type="dxa"/>
            <w:tcBorders>
              <w:top w:val="nil"/>
              <w:left w:val="nil"/>
              <w:bottom w:val="single" w:color="auto" w:sz="4" w:space="0"/>
              <w:right w:val="single" w:color="auto" w:sz="4" w:space="0"/>
            </w:tcBorders>
            <w:vAlign w:val="center"/>
          </w:tcPr>
          <w:p>
            <w:pPr>
              <w:widowControl/>
              <w:spacing w:line="30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c>
          <w:tcPr>
            <w:tcW w:w="3181" w:type="dxa"/>
            <w:tcBorders>
              <w:top w:val="nil"/>
              <w:left w:val="nil"/>
              <w:bottom w:val="single" w:color="auto" w:sz="4" w:space="0"/>
              <w:right w:val="single" w:color="auto" w:sz="4" w:space="0"/>
            </w:tcBorders>
            <w:vAlign w:val="center"/>
          </w:tcPr>
          <w:p>
            <w:pPr>
              <w:widowControl/>
              <w:spacing w:line="30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部门（单位）制定了相应的预算资金、财务管理和预算绩效管理等制度并严格执行，用以反映部门（单位）的管理制度对其完成主要职责和促进事业发展的保障情况。</w:t>
            </w:r>
          </w:p>
        </w:tc>
        <w:tc>
          <w:tcPr>
            <w:tcW w:w="7229" w:type="dxa"/>
            <w:tcBorders>
              <w:top w:val="nil"/>
              <w:left w:val="nil"/>
              <w:bottom w:val="single" w:color="auto" w:sz="4" w:space="0"/>
              <w:right w:val="single" w:color="auto" w:sz="4" w:space="0"/>
            </w:tcBorders>
          </w:tcPr>
          <w:p>
            <w:pPr>
              <w:widowControl/>
              <w:spacing w:line="300" w:lineRule="exact"/>
              <w:jc w:val="left"/>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部门制定了财政资金管理、财务管理、内部控制等制度（0.5分）；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上述财政资金管理、财务管理、内部控制等制度得到有效执行（1.5分）；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3.</w:t>
            </w:r>
            <w:r>
              <w:rPr>
                <w:rFonts w:hint="eastAsia" w:cs="宋体" w:asciiTheme="minorEastAsia" w:hAnsiTheme="minorEastAsia" w:eastAsiaTheme="minorEastAsia"/>
                <w:kern w:val="0"/>
                <w:sz w:val="22"/>
                <w:szCs w:val="22"/>
              </w:rPr>
              <w:t>部门按照预算和绩效管理一体化的要求制定本部门全面实施预算绩效管理的制度或工作方案，组织指导本级及下属单位开展事前评估、绩效目标编报、绩效监控、绩效评价和评价结果应用等工作（</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p>
        </w:tc>
        <w:tc>
          <w:tcPr>
            <w:tcW w:w="889" w:type="dxa"/>
            <w:tcBorders>
              <w:top w:val="nil"/>
              <w:left w:val="nil"/>
              <w:bottom w:val="single" w:color="auto" w:sz="4" w:space="0"/>
              <w:right w:val="single" w:color="auto" w:sz="4" w:space="0"/>
            </w:tcBorders>
            <w:vAlign w:val="center"/>
          </w:tcPr>
          <w:p>
            <w:pPr>
              <w:widowControl/>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r>
      <w:tr>
        <w:tblPrEx>
          <w:tblCellMar>
            <w:top w:w="0" w:type="dxa"/>
            <w:left w:w="108" w:type="dxa"/>
            <w:bottom w:w="0" w:type="dxa"/>
            <w:right w:w="108" w:type="dxa"/>
          </w:tblCellMar>
        </w:tblPrEx>
        <w:trPr>
          <w:trHeight w:val="360" w:hRule="atLeast"/>
          <w:jc w:val="center"/>
        </w:trPr>
        <w:tc>
          <w:tcPr>
            <w:tcW w:w="57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部门绩效</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60</w:t>
            </w:r>
          </w:p>
        </w:tc>
        <w:tc>
          <w:tcPr>
            <w:tcW w:w="567"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经济性</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6</w:t>
            </w: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公用经费控制率</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6</w:t>
            </w:r>
          </w:p>
        </w:tc>
        <w:tc>
          <w:tcPr>
            <w:tcW w:w="3181"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部门（单位）本年度实际支出的公用经费总额与预算安排的公用经费总额的比率，用以反映和考核部门（单位）对机构运转成本的实际控制程度。</w:t>
            </w:r>
          </w:p>
        </w:tc>
        <w:tc>
          <w:tcPr>
            <w:tcW w:w="7229"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“三公”经费控制率=“三公”经费实际支出数/“三公”经费预算安排数×</w:t>
            </w:r>
            <w:r>
              <w:rPr>
                <w:rFonts w:cs="宋体" w:asciiTheme="minorEastAsia" w:hAnsiTheme="minorEastAsia" w:eastAsiaTheme="minorEastAsia"/>
                <w:kern w:val="0"/>
                <w:sz w:val="22"/>
                <w:szCs w:val="22"/>
              </w:rPr>
              <w:t>100%</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（1）“三公”经费控制率＜90%的，得3分；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（2）90%≤“三公”经费控制率≤100%的，得2分；</w:t>
            </w:r>
          </w:p>
          <w:p>
            <w:pPr>
              <w:widowControl/>
              <w:spacing w:line="320" w:lineRule="exact"/>
              <w:rPr>
                <w:rFonts w:cs="宋体" w:asciiTheme="minorEastAsia" w:hAnsiTheme="minorEastAsia" w:eastAsiaTheme="minorEastAsia"/>
                <w:kern w:val="0"/>
                <w:sz w:val="22"/>
                <w:szCs w:val="22"/>
              </w:rPr>
            </w:pPr>
            <w:r>
              <w:rPr>
                <w:rFonts w:hint="eastAsia" w:asciiTheme="minorEastAsia" w:hAnsiTheme="minorEastAsia" w:eastAsiaTheme="minorEastAsia"/>
                <w:kern w:val="0"/>
                <w:sz w:val="22"/>
                <w:szCs w:val="22"/>
              </w:rPr>
              <w:t>（3）</w:t>
            </w:r>
            <w:r>
              <w:rPr>
                <w:rFonts w:hint="eastAsia" w:cs="宋体" w:asciiTheme="minorEastAsia" w:hAnsiTheme="minorEastAsia" w:eastAsiaTheme="minorEastAsia"/>
                <w:kern w:val="0"/>
                <w:sz w:val="22"/>
                <w:szCs w:val="22"/>
              </w:rPr>
              <w:t>“三公”经费控制率＞100%的，得0分。</w:t>
            </w:r>
            <w:r>
              <w:rPr>
                <w:rFonts w:asciiTheme="minorEastAsia" w:hAnsiTheme="minorEastAsia" w:eastAsiaTheme="minorEastAsia"/>
                <w:kern w:val="0"/>
                <w:sz w:val="22"/>
                <w:szCs w:val="22"/>
              </w:rPr>
              <w:br w:type="textWrapping"/>
            </w: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 xml:space="preserve"> 日常公用经费控制率=日常公用经费决算数/日常公用经费调整预算数×</w:t>
            </w:r>
            <w:r>
              <w:rPr>
                <w:rFonts w:cs="宋体" w:asciiTheme="minorEastAsia" w:hAnsiTheme="minorEastAsia" w:eastAsiaTheme="minorEastAsia"/>
                <w:kern w:val="0"/>
                <w:sz w:val="22"/>
                <w:szCs w:val="22"/>
              </w:rPr>
              <w:t>100%</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（1）日常公用经费控制率＜90%的，得3分；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（2）90%≤日常公用经费控制率≤100%的，得2分；</w:t>
            </w:r>
          </w:p>
          <w:p>
            <w:pPr>
              <w:widowControl/>
              <w:spacing w:line="320" w:lineRule="exact"/>
              <w:rPr>
                <w:rFonts w:cs="宋体" w:asciiTheme="minorEastAsia" w:hAnsiTheme="minorEastAsia" w:eastAsiaTheme="minorEastAsia"/>
                <w:kern w:val="0"/>
                <w:sz w:val="22"/>
                <w:szCs w:val="22"/>
              </w:rPr>
            </w:pPr>
            <w:r>
              <w:rPr>
                <w:rFonts w:hint="eastAsia" w:asciiTheme="minorEastAsia" w:hAnsiTheme="minorEastAsia" w:eastAsiaTheme="minorEastAsia"/>
                <w:kern w:val="0"/>
                <w:sz w:val="22"/>
                <w:szCs w:val="22"/>
              </w:rPr>
              <w:t>（3）</w:t>
            </w:r>
            <w:r>
              <w:rPr>
                <w:rFonts w:hint="eastAsia" w:cs="宋体" w:asciiTheme="minorEastAsia" w:hAnsiTheme="minorEastAsia" w:eastAsiaTheme="minorEastAsia"/>
                <w:kern w:val="0"/>
                <w:sz w:val="22"/>
                <w:szCs w:val="22"/>
              </w:rPr>
              <w:t>日常公用经费控制率＞100%的，得0分。</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1084"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效率性</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20</w:t>
            </w: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项目完成及时性</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6</w:t>
            </w:r>
          </w:p>
        </w:tc>
        <w:tc>
          <w:tcPr>
            <w:tcW w:w="3181"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部门（单位）项目完成情况与预期时间对比的情况。</w:t>
            </w:r>
          </w:p>
        </w:tc>
        <w:tc>
          <w:tcPr>
            <w:tcW w:w="7229"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所有部门预算安排的项目均按计划时间完成（</w:t>
            </w:r>
            <w:r>
              <w:rPr>
                <w:rFonts w:cs="宋体" w:asciiTheme="minorEastAsia" w:hAnsiTheme="minorEastAsia" w:eastAsiaTheme="minorEastAsia"/>
                <w:kern w:val="0"/>
                <w:sz w:val="22"/>
                <w:szCs w:val="22"/>
              </w:rPr>
              <w:t>6</w:t>
            </w:r>
            <w:r>
              <w:rPr>
                <w:rFonts w:hint="eastAsia" w:cs="宋体" w:asciiTheme="minorEastAsia" w:hAnsiTheme="minorEastAsia" w:eastAsiaTheme="minorEastAsia"/>
                <w:kern w:val="0"/>
                <w:sz w:val="22"/>
                <w:szCs w:val="22"/>
              </w:rPr>
              <w:t>分）；</w:t>
            </w:r>
          </w:p>
          <w:p>
            <w:pPr>
              <w:widowControl/>
              <w:spacing w:line="320" w:lineRule="exac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部分项目未按计划时间完成的，本指标得分</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已完成项目数</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计划完成项目总数×</w:t>
            </w:r>
            <w:r>
              <w:rPr>
                <w:rFonts w:cs="宋体" w:asciiTheme="minorEastAsia" w:hAnsiTheme="minorEastAsia" w:eastAsiaTheme="minorEastAsia"/>
                <w:kern w:val="0"/>
                <w:sz w:val="22"/>
                <w:szCs w:val="22"/>
              </w:rPr>
              <w:t>6</w:t>
            </w:r>
            <w:r>
              <w:rPr>
                <w:rFonts w:hint="eastAsia" w:cs="宋体" w:asciiTheme="minorEastAsia" w:hAnsiTheme="minorEastAsia" w:eastAsiaTheme="minorEastAsia"/>
                <w:kern w:val="0"/>
                <w:sz w:val="22"/>
                <w:szCs w:val="22"/>
              </w:rPr>
              <w:t>分。</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6</w:t>
            </w:r>
          </w:p>
        </w:tc>
      </w:tr>
      <w:tr>
        <w:tblPrEx>
          <w:tblCellMar>
            <w:top w:w="0" w:type="dxa"/>
            <w:left w:w="108" w:type="dxa"/>
            <w:bottom w:w="0" w:type="dxa"/>
            <w:right w:w="108" w:type="dxa"/>
          </w:tblCellMar>
        </w:tblPrEx>
        <w:trPr>
          <w:trHeight w:val="1404"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预算执行率</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6</w:t>
            </w:r>
          </w:p>
        </w:tc>
        <w:tc>
          <w:tcPr>
            <w:tcW w:w="3181"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部门（单位）部门预算实际支付进度和既定支付进度的匹配情况，反映和考核部门（单位）预算执行的及时性和均衡性。</w:t>
            </w:r>
          </w:p>
        </w:tc>
        <w:tc>
          <w:tcPr>
            <w:tcW w:w="7229"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1.一季度预算执行率得分=（一季度部门预算支出进度/序时进度25%）×1分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2.二季度预算执行率得分=（二季度部门预算支出进度/序时进度50%）×1分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3.三季度预算执行率得分=（三季度部门预算支出进度/序时进度75%）×1分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4.四季度预算执行率得分=（四季度部门预算支出进度/序时进度100%）×1分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5.全年平均支出进度得分</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全年平均执行率×2分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其中：全年平均执行率</w:t>
            </w:r>
            <w:r>
              <w:rPr>
                <w:rFonts w:cs="宋体"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∑（每个季度的执行率）÷</w:t>
            </w:r>
            <w:r>
              <w:rPr>
                <w:rFonts w:cs="宋体" w:asciiTheme="minorEastAsia" w:hAnsiTheme="minorEastAsia" w:eastAsiaTheme="minorEastAsia"/>
                <w:kern w:val="0"/>
                <w:sz w:val="22"/>
                <w:szCs w:val="22"/>
              </w:rPr>
              <w:t>4</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季度支出进度=季度末月份累计支出进度（即3、6、9、12月月末支出进度）</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5.98</w:t>
            </w:r>
          </w:p>
        </w:tc>
      </w:tr>
      <w:tr>
        <w:tblPrEx>
          <w:tblCellMar>
            <w:top w:w="0" w:type="dxa"/>
            <w:left w:w="108" w:type="dxa"/>
            <w:bottom w:w="0" w:type="dxa"/>
            <w:right w:w="108" w:type="dxa"/>
          </w:tblCellMar>
        </w:tblPrEx>
        <w:trPr>
          <w:trHeight w:val="1404"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重点工作完成情况</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8</w:t>
            </w:r>
          </w:p>
        </w:tc>
        <w:tc>
          <w:tcPr>
            <w:tcW w:w="3181"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rPr>
              <w:t>部门（单位）完成党委、政府、人大和上级部门下达或交办的重要事项或工作的完成情况，反映部门对重点工作的办理落实程度。</w:t>
            </w:r>
          </w:p>
        </w:tc>
        <w:tc>
          <w:tcPr>
            <w:tcW w:w="7229"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重点工作是指中央和省相关部门、市委、市政府、市人大交办或下达的工作任务。全部按期保质保量完成得8分；一项重点工作没有完成扣4分，扣完为止。</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注：重点工作完成情况可以参考市委市政府督查部门或其他权威部门的统计数据（如有）。</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8</w:t>
            </w:r>
          </w:p>
        </w:tc>
      </w:tr>
      <w:tr>
        <w:tblPrEx>
          <w:tblCellMar>
            <w:top w:w="0" w:type="dxa"/>
            <w:left w:w="108" w:type="dxa"/>
            <w:bottom w:w="0" w:type="dxa"/>
            <w:right w:w="108" w:type="dxa"/>
          </w:tblCellMar>
        </w:tblPrEx>
        <w:trPr>
          <w:trHeight w:val="1260"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效果性</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25</w:t>
            </w: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社会效益、经济效益、生态效益及可持续影响等</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25</w:t>
            </w:r>
          </w:p>
        </w:tc>
        <w:tc>
          <w:tcPr>
            <w:tcW w:w="3181"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部门（单位）履行职责、完成各项重大政策和项目的效果，以及对经济发展、社会发展、生态环境所带来的直接或间接影响。</w:t>
            </w:r>
          </w:p>
        </w:tc>
        <w:tc>
          <w:tcPr>
            <w:tcW w:w="7229"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根据部门（单位）职责，结合部门整体支出绩效目标，合理设置个性化绩效指标，通过绩效指标完成情况与目标值对比分析进行评分，未实现绩效目标的酌情扣分。</w:t>
            </w:r>
          </w:p>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根据部门（部门）履职内容和性质，从社会效益、经济效益、生态效益、可持续影响等方面，至少选择三个方面对工作实效和效益进行评价。</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25</w:t>
            </w:r>
          </w:p>
        </w:tc>
      </w:tr>
      <w:tr>
        <w:tblPrEx>
          <w:tblCellMar>
            <w:top w:w="0" w:type="dxa"/>
            <w:left w:w="108" w:type="dxa"/>
            <w:bottom w:w="0" w:type="dxa"/>
            <w:right w:w="108" w:type="dxa"/>
          </w:tblCellMar>
        </w:tblPrEx>
        <w:trPr>
          <w:trHeight w:val="1214"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公平性</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9</w:t>
            </w: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群众信访办理情况</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3</w:t>
            </w:r>
          </w:p>
        </w:tc>
        <w:tc>
          <w:tcPr>
            <w:tcW w:w="3181"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部门（单位）对群众信访意见的完成情况及及时性，反映部门（单位）对服务群众的重视程度。</w:t>
            </w:r>
          </w:p>
        </w:tc>
        <w:tc>
          <w:tcPr>
            <w:tcW w:w="7229"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建立了便利的群众意见反映渠道和群众意见办理回复机制（</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p>
          <w:p>
            <w:pPr>
              <w:widowControl/>
              <w:spacing w:line="320" w:lineRule="exact"/>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当年度群众信访办理回复率达100%（</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p>
          <w:p>
            <w:pPr>
              <w:widowControl/>
              <w:spacing w:line="320" w:lineRule="exact"/>
              <w:rPr>
                <w:rFonts w:asciiTheme="minorEastAsia" w:hAnsiTheme="minorEastAsia" w:eastAsiaTheme="minorEastAsia"/>
                <w:kern w:val="0"/>
                <w:sz w:val="22"/>
                <w:szCs w:val="22"/>
              </w:rPr>
            </w:pPr>
            <w:r>
              <w:rPr>
                <w:rFonts w:cs="宋体" w:asciiTheme="minorEastAsia" w:hAnsiTheme="minorEastAsia" w:eastAsiaTheme="minorEastAsia"/>
                <w:kern w:val="0"/>
                <w:sz w:val="22"/>
                <w:szCs w:val="22"/>
              </w:rPr>
              <w:t>3.</w:t>
            </w:r>
            <w:r>
              <w:rPr>
                <w:rFonts w:hint="eastAsia" w:cs="宋体" w:asciiTheme="minorEastAsia" w:hAnsiTheme="minorEastAsia" w:eastAsiaTheme="minorEastAsia"/>
                <w:kern w:val="0"/>
                <w:sz w:val="22"/>
                <w:szCs w:val="22"/>
              </w:rPr>
              <w:t>当年度群众信访及时办理回复率达100%，未发生超期（</w:t>
            </w:r>
            <w:r>
              <w:rPr>
                <w:rFonts w:cs="宋体" w:asciiTheme="minorEastAsia" w:hAnsiTheme="minorEastAsia" w:eastAsiaTheme="minorEastAsia"/>
                <w:kern w:val="0"/>
                <w:sz w:val="22"/>
                <w:szCs w:val="22"/>
              </w:rPr>
              <w:t>1</w:t>
            </w:r>
            <w:r>
              <w:rPr>
                <w:rFonts w:hint="eastAsia" w:cs="宋体" w:asciiTheme="minorEastAsia" w:hAnsiTheme="minorEastAsia" w:eastAsiaTheme="minorEastAsia"/>
                <w:kern w:val="0"/>
                <w:sz w:val="22"/>
                <w:szCs w:val="22"/>
              </w:rPr>
              <w:t>分）。</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r>
      <w:tr>
        <w:tblPrEx>
          <w:tblCellMar>
            <w:top w:w="0" w:type="dxa"/>
            <w:left w:w="108" w:type="dxa"/>
            <w:bottom w:w="0" w:type="dxa"/>
            <w:right w:w="108" w:type="dxa"/>
          </w:tblCellMar>
        </w:tblPrEx>
        <w:trPr>
          <w:trHeight w:val="1401" w:hRule="atLeast"/>
          <w:jc w:val="center"/>
        </w:trPr>
        <w:tc>
          <w:tcPr>
            <w:tcW w:w="57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p>
        </w:tc>
        <w:tc>
          <w:tcPr>
            <w:tcW w:w="851" w:type="dxa"/>
            <w:tcBorders>
              <w:top w:val="nil"/>
              <w:left w:val="nil"/>
              <w:bottom w:val="single" w:color="auto" w:sz="4" w:space="0"/>
              <w:right w:val="single" w:color="auto" w:sz="4" w:space="0"/>
            </w:tcBorders>
            <w:vAlign w:val="center"/>
          </w:tcPr>
          <w:p>
            <w:pPr>
              <w:widowControl/>
              <w:spacing w:line="320" w:lineRule="exact"/>
              <w:jc w:val="lef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公众或服务对象满意度</w:t>
            </w:r>
          </w:p>
        </w:tc>
        <w:tc>
          <w:tcPr>
            <w:tcW w:w="567" w:type="dxa"/>
            <w:tcBorders>
              <w:top w:val="nil"/>
              <w:left w:val="nil"/>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w:t>
            </w:r>
          </w:p>
        </w:tc>
        <w:tc>
          <w:tcPr>
            <w:tcW w:w="3181" w:type="dxa"/>
            <w:tcBorders>
              <w:top w:val="nil"/>
              <w:left w:val="nil"/>
              <w:bottom w:val="single" w:color="auto" w:sz="4" w:space="0"/>
              <w:right w:val="single" w:color="auto" w:sz="4" w:space="0"/>
            </w:tcBorders>
            <w:vAlign w:val="center"/>
          </w:tcPr>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反映社会公众或部门（单位）的服务对象对部门履职效果的满意度。</w:t>
            </w:r>
          </w:p>
        </w:tc>
        <w:tc>
          <w:tcPr>
            <w:tcW w:w="7229" w:type="dxa"/>
            <w:tcBorders>
              <w:top w:val="nil"/>
              <w:left w:val="nil"/>
              <w:bottom w:val="single" w:color="auto" w:sz="4" w:space="0"/>
              <w:right w:val="single" w:color="auto" w:sz="4" w:space="0"/>
            </w:tcBorders>
            <w:vAlign w:val="center"/>
          </w:tcPr>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1.满意度≥95%的，得6分；</w:t>
            </w:r>
          </w:p>
          <w:p>
            <w:pPr>
              <w:widowControl/>
              <w:spacing w:line="320" w:lineRule="exact"/>
              <w:rPr>
                <w:rFonts w:cs="宋体" w:asciiTheme="minorEastAsia" w:hAnsiTheme="minorEastAsia" w:eastAsiaTheme="minorEastAsia"/>
                <w:kern w:val="0"/>
                <w:sz w:val="22"/>
                <w:szCs w:val="22"/>
              </w:rPr>
            </w:pPr>
            <w:r>
              <w:rPr>
                <w:rFonts w:hint="eastAsia" w:asciiTheme="minorEastAsia" w:hAnsiTheme="minorEastAsia" w:eastAsiaTheme="minorEastAsia"/>
                <w:kern w:val="0"/>
                <w:sz w:val="22"/>
                <w:szCs w:val="22"/>
              </w:rPr>
              <w:t>2.</w:t>
            </w:r>
            <w:r>
              <w:rPr>
                <w:rFonts w:hint="eastAsia" w:cs="宋体" w:asciiTheme="minorEastAsia" w:hAnsiTheme="minorEastAsia" w:eastAsiaTheme="minorEastAsia"/>
                <w:kern w:val="0"/>
                <w:sz w:val="22"/>
                <w:szCs w:val="22"/>
              </w:rPr>
              <w:t xml:space="preserve"> 90%≤满意度＜95%的，得4分；</w:t>
            </w:r>
          </w:p>
          <w:p>
            <w:pPr>
              <w:widowControl/>
              <w:spacing w:line="32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 80%≤满意度＜90%的，得2分；</w:t>
            </w:r>
          </w:p>
          <w:p>
            <w:pPr>
              <w:widowControl/>
              <w:spacing w:line="320" w:lineRule="exact"/>
              <w:rPr>
                <w:rFonts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 满意度＜80%的，得1分。</w:t>
            </w:r>
          </w:p>
        </w:tc>
        <w:tc>
          <w:tcPr>
            <w:tcW w:w="889" w:type="dxa"/>
            <w:tcBorders>
              <w:top w:val="nil"/>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kern w:val="0"/>
                <w:sz w:val="22"/>
                <w:szCs w:val="22"/>
              </w:rPr>
            </w:pPr>
            <w:r>
              <w:rPr>
                <w:rFonts w:cs="宋体" w:asciiTheme="minorEastAsia" w:hAnsiTheme="minorEastAsia" w:eastAsiaTheme="minorEastAsia"/>
                <w:kern w:val="0"/>
                <w:sz w:val="22"/>
                <w:szCs w:val="22"/>
              </w:rPr>
              <w:t>5</w:t>
            </w:r>
          </w:p>
        </w:tc>
      </w:tr>
      <w:tr>
        <w:tblPrEx>
          <w:tblCellMar>
            <w:top w:w="0" w:type="dxa"/>
            <w:left w:w="108" w:type="dxa"/>
            <w:bottom w:w="0" w:type="dxa"/>
            <w:right w:w="108" w:type="dxa"/>
          </w:tblCellMar>
        </w:tblPrEx>
        <w:trPr>
          <w:trHeight w:val="733" w:hRule="atLeast"/>
          <w:jc w:val="center"/>
        </w:trPr>
        <w:tc>
          <w:tcPr>
            <w:tcW w:w="1711"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asciiTheme="minorEastAsia" w:hAnsiTheme="minorEastAsia" w:eastAsiaTheme="minorEastAsia"/>
                <w:b/>
                <w:bCs/>
                <w:kern w:val="0"/>
                <w:sz w:val="22"/>
                <w:szCs w:val="22"/>
              </w:rPr>
              <w:t>分值合计</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Theme="minorEastAsia" w:hAnsiTheme="minorEastAsia" w:eastAsiaTheme="minorEastAsia"/>
                <w:b/>
                <w:bCs/>
                <w:kern w:val="0"/>
                <w:sz w:val="22"/>
                <w:szCs w:val="22"/>
              </w:rPr>
            </w:pPr>
            <w:r>
              <w:rPr>
                <w:rFonts w:hint="eastAsia" w:asciiTheme="minorEastAsia" w:hAnsiTheme="minorEastAsia" w:eastAsiaTheme="minorEastAsia"/>
                <w:b/>
                <w:bCs/>
                <w:kern w:val="0"/>
                <w:sz w:val="22"/>
                <w:szCs w:val="22"/>
              </w:rPr>
              <w:t>1</w:t>
            </w:r>
            <w:r>
              <w:rPr>
                <w:rFonts w:asciiTheme="minorEastAsia" w:hAnsiTheme="minorEastAsia" w:eastAsiaTheme="minorEastAsia"/>
                <w:b/>
                <w:bCs/>
                <w:kern w:val="0"/>
                <w:sz w:val="22"/>
                <w:szCs w:val="22"/>
              </w:rPr>
              <w:t>00</w:t>
            </w:r>
          </w:p>
        </w:tc>
        <w:tc>
          <w:tcPr>
            <w:tcW w:w="85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1</w:t>
            </w:r>
            <w:r>
              <w:rPr>
                <w:rFonts w:cs="宋体" w:asciiTheme="minorEastAsia" w:hAnsiTheme="minorEastAsia" w:eastAsiaTheme="minorEastAsia"/>
                <w:b/>
                <w:bCs/>
                <w:kern w:val="0"/>
                <w:sz w:val="22"/>
                <w:szCs w:val="22"/>
              </w:rPr>
              <w:t>00</w:t>
            </w:r>
          </w:p>
        </w:tc>
        <w:tc>
          <w:tcPr>
            <w:tcW w:w="318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w:t>
            </w:r>
          </w:p>
        </w:tc>
        <w:tc>
          <w:tcPr>
            <w:tcW w:w="7229" w:type="dxa"/>
            <w:tcBorders>
              <w:top w:val="single" w:color="auto" w:sz="4" w:space="0"/>
              <w:left w:val="nil"/>
              <w:bottom w:val="single" w:color="auto" w:sz="4" w:space="0"/>
              <w:right w:val="single" w:color="auto" w:sz="4" w:space="0"/>
            </w:tcBorders>
            <w:vAlign w:val="center"/>
          </w:tcPr>
          <w:p>
            <w:pPr>
              <w:widowControl/>
              <w:spacing w:line="320" w:lineRule="exact"/>
              <w:ind w:firstLine="420"/>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w:t>
            </w:r>
          </w:p>
        </w:tc>
        <w:tc>
          <w:tcPr>
            <w:tcW w:w="88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9</w:t>
            </w:r>
            <w:r>
              <w:rPr>
                <w:rFonts w:cs="宋体" w:asciiTheme="minorEastAsia" w:hAnsiTheme="minorEastAsia" w:eastAsiaTheme="minorEastAsia"/>
                <w:b/>
                <w:bCs/>
                <w:kern w:val="0"/>
                <w:sz w:val="22"/>
                <w:szCs w:val="22"/>
              </w:rPr>
              <w:t>5.49</w:t>
            </w:r>
          </w:p>
        </w:tc>
      </w:tr>
    </w:tbl>
    <w:p>
      <w:pPr>
        <w:spacing w:line="320" w:lineRule="exact"/>
        <w:rPr>
          <w:sz w:val="24"/>
          <w:szCs w:val="21"/>
        </w:rPr>
      </w:pPr>
      <w:r>
        <w:rPr>
          <w:rFonts w:hint="eastAsia"/>
          <w:sz w:val="24"/>
          <w:szCs w:val="21"/>
        </w:rPr>
        <w:t>附注：</w:t>
      </w:r>
      <w:r>
        <w:rPr>
          <w:sz w:val="24"/>
          <w:szCs w:val="21"/>
        </w:rPr>
        <w:t>1.</w:t>
      </w:r>
      <w:r>
        <w:rPr>
          <w:rFonts w:hint="eastAsia"/>
          <w:sz w:val="24"/>
          <w:szCs w:val="21"/>
        </w:rPr>
        <w:t>《部门整体支出绩效评价共性指标体系框架》的适用对象是部门和单位；</w:t>
      </w:r>
    </w:p>
    <w:p>
      <w:pPr>
        <w:spacing w:line="320" w:lineRule="exact"/>
        <w:rPr>
          <w:sz w:val="24"/>
          <w:szCs w:val="21"/>
        </w:rPr>
      </w:pPr>
      <w:r>
        <w:rPr>
          <w:sz w:val="24"/>
          <w:szCs w:val="21"/>
        </w:rPr>
        <w:t xml:space="preserve">      2.</w:t>
      </w:r>
      <w:r>
        <w:rPr>
          <w:rFonts w:hint="eastAsia"/>
          <w:sz w:val="24"/>
          <w:szCs w:val="21"/>
        </w:rPr>
        <w:t>各项指标的分值是参考分值，各部门各单位在开展绩效评价时可结合不同评价对象的特点，赋予评价指标科学合理的权重分值，明确具体的评分标准。</w:t>
      </w:r>
    </w:p>
    <w:p>
      <w:pPr>
        <w:rPr>
          <w:sz w:val="16"/>
          <w:szCs w:val="16"/>
        </w:rPr>
      </w:pPr>
    </w:p>
    <w:sectPr>
      <w:footerReference r:id="rId4"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4"/>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- 17 -</w:t>
                          </w:r>
                          <w:r>
                            <w:rPr>
                              <w:rStyle w:val="14"/>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7"/>
                      <w:rPr>
                        <w:rStyle w:val="14"/>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- 17 -</w:t>
                    </w:r>
                    <w:r>
                      <w:rPr>
                        <w:rStyle w:val="14"/>
                        <w:rFonts w:ascii="宋体" w:hAnsi="宋体"/>
                        <w:sz w:val="28"/>
                        <w:szCs w:val="28"/>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4"/>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- 17 -</w:t>
                          </w:r>
                          <w:r>
                            <w:rPr>
                              <w:rStyle w:val="14"/>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7"/>
                      <w:rPr>
                        <w:rStyle w:val="14"/>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- 17 -</w:t>
                    </w:r>
                    <w:r>
                      <w:rPr>
                        <w:rStyle w:val="14"/>
                        <w:rFonts w:ascii="宋体" w:hAnsi="宋体"/>
                        <w:sz w:val="28"/>
                        <w:szCs w:val="28"/>
                      </w:rP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jdlNzU3NGZmZGMwMzVjYzk4MmUyMGVmNjM4MjAifQ=="/>
  </w:docVars>
  <w:rsids>
    <w:rsidRoot w:val="007C6A8D"/>
    <w:rsid w:val="0001050E"/>
    <w:rsid w:val="00015287"/>
    <w:rsid w:val="000161D2"/>
    <w:rsid w:val="00021835"/>
    <w:rsid w:val="00022516"/>
    <w:rsid w:val="000336F0"/>
    <w:rsid w:val="0003407E"/>
    <w:rsid w:val="000346D9"/>
    <w:rsid w:val="00060301"/>
    <w:rsid w:val="000632D2"/>
    <w:rsid w:val="00064C48"/>
    <w:rsid w:val="00072FB0"/>
    <w:rsid w:val="000757DF"/>
    <w:rsid w:val="00075901"/>
    <w:rsid w:val="00090342"/>
    <w:rsid w:val="000B7B21"/>
    <w:rsid w:val="000C1693"/>
    <w:rsid w:val="000C25EC"/>
    <w:rsid w:val="000C6845"/>
    <w:rsid w:val="000C7F39"/>
    <w:rsid w:val="000D0CB5"/>
    <w:rsid w:val="000D5ECC"/>
    <w:rsid w:val="000D74E2"/>
    <w:rsid w:val="000D7584"/>
    <w:rsid w:val="000E24C6"/>
    <w:rsid w:val="000F048C"/>
    <w:rsid w:val="000F5721"/>
    <w:rsid w:val="0011593C"/>
    <w:rsid w:val="001216E4"/>
    <w:rsid w:val="001426DC"/>
    <w:rsid w:val="00150139"/>
    <w:rsid w:val="00156F7B"/>
    <w:rsid w:val="00170D64"/>
    <w:rsid w:val="00177376"/>
    <w:rsid w:val="0018361D"/>
    <w:rsid w:val="00185F43"/>
    <w:rsid w:val="00186083"/>
    <w:rsid w:val="00195DFA"/>
    <w:rsid w:val="00197155"/>
    <w:rsid w:val="001A28CA"/>
    <w:rsid w:val="001A4FCA"/>
    <w:rsid w:val="001C4D5B"/>
    <w:rsid w:val="001D5F70"/>
    <w:rsid w:val="001E1A5E"/>
    <w:rsid w:val="001E702E"/>
    <w:rsid w:val="001E70D3"/>
    <w:rsid w:val="001F48C9"/>
    <w:rsid w:val="001F5AA4"/>
    <w:rsid w:val="0022757F"/>
    <w:rsid w:val="00235966"/>
    <w:rsid w:val="00247D6F"/>
    <w:rsid w:val="00250F25"/>
    <w:rsid w:val="00264E8D"/>
    <w:rsid w:val="00265C28"/>
    <w:rsid w:val="002731D9"/>
    <w:rsid w:val="002752AF"/>
    <w:rsid w:val="0028645D"/>
    <w:rsid w:val="002A7700"/>
    <w:rsid w:val="002B0FCC"/>
    <w:rsid w:val="002B43E7"/>
    <w:rsid w:val="002B5727"/>
    <w:rsid w:val="002E0FBC"/>
    <w:rsid w:val="002E43FA"/>
    <w:rsid w:val="00301F2D"/>
    <w:rsid w:val="00304C65"/>
    <w:rsid w:val="003173BC"/>
    <w:rsid w:val="003204B4"/>
    <w:rsid w:val="00320CA5"/>
    <w:rsid w:val="00322D86"/>
    <w:rsid w:val="00323B8D"/>
    <w:rsid w:val="003246F0"/>
    <w:rsid w:val="00343528"/>
    <w:rsid w:val="00354961"/>
    <w:rsid w:val="0035757F"/>
    <w:rsid w:val="003577C2"/>
    <w:rsid w:val="0036288C"/>
    <w:rsid w:val="00370F98"/>
    <w:rsid w:val="0037542D"/>
    <w:rsid w:val="00382649"/>
    <w:rsid w:val="00394B68"/>
    <w:rsid w:val="003958FE"/>
    <w:rsid w:val="003A4D48"/>
    <w:rsid w:val="003B1900"/>
    <w:rsid w:val="003C689C"/>
    <w:rsid w:val="003D5362"/>
    <w:rsid w:val="003F23FA"/>
    <w:rsid w:val="003F3BCB"/>
    <w:rsid w:val="00413A5C"/>
    <w:rsid w:val="00415DBE"/>
    <w:rsid w:val="0042014A"/>
    <w:rsid w:val="00436BE1"/>
    <w:rsid w:val="00447BDD"/>
    <w:rsid w:val="004514C5"/>
    <w:rsid w:val="00463E91"/>
    <w:rsid w:val="0048765B"/>
    <w:rsid w:val="00497F86"/>
    <w:rsid w:val="004A3245"/>
    <w:rsid w:val="004B47F6"/>
    <w:rsid w:val="004C527A"/>
    <w:rsid w:val="004C5EA2"/>
    <w:rsid w:val="004C75BB"/>
    <w:rsid w:val="004D5166"/>
    <w:rsid w:val="004F3D19"/>
    <w:rsid w:val="0050031D"/>
    <w:rsid w:val="00512D22"/>
    <w:rsid w:val="005174CD"/>
    <w:rsid w:val="00521E9F"/>
    <w:rsid w:val="00524FB1"/>
    <w:rsid w:val="00525920"/>
    <w:rsid w:val="005530FC"/>
    <w:rsid w:val="0056661B"/>
    <w:rsid w:val="00567EEA"/>
    <w:rsid w:val="00577D06"/>
    <w:rsid w:val="00581E7C"/>
    <w:rsid w:val="0058344B"/>
    <w:rsid w:val="0058415D"/>
    <w:rsid w:val="0059200C"/>
    <w:rsid w:val="005A7B7C"/>
    <w:rsid w:val="005B0B6D"/>
    <w:rsid w:val="005C793D"/>
    <w:rsid w:val="005D0FB7"/>
    <w:rsid w:val="005D6FD8"/>
    <w:rsid w:val="005F279F"/>
    <w:rsid w:val="006052BB"/>
    <w:rsid w:val="00643218"/>
    <w:rsid w:val="00657AD4"/>
    <w:rsid w:val="00666264"/>
    <w:rsid w:val="006668F7"/>
    <w:rsid w:val="00670E00"/>
    <w:rsid w:val="00673D5C"/>
    <w:rsid w:val="00684BDF"/>
    <w:rsid w:val="006A08E5"/>
    <w:rsid w:val="006A0B18"/>
    <w:rsid w:val="006C3A91"/>
    <w:rsid w:val="006C7594"/>
    <w:rsid w:val="006E2C6E"/>
    <w:rsid w:val="006F0724"/>
    <w:rsid w:val="007048EA"/>
    <w:rsid w:val="0071278D"/>
    <w:rsid w:val="00727F22"/>
    <w:rsid w:val="00740857"/>
    <w:rsid w:val="00747660"/>
    <w:rsid w:val="007477DC"/>
    <w:rsid w:val="0079269F"/>
    <w:rsid w:val="00796073"/>
    <w:rsid w:val="00796D85"/>
    <w:rsid w:val="00796F23"/>
    <w:rsid w:val="007A1A5E"/>
    <w:rsid w:val="007A49F4"/>
    <w:rsid w:val="007B1093"/>
    <w:rsid w:val="007B22CA"/>
    <w:rsid w:val="007C6A8D"/>
    <w:rsid w:val="007C77C0"/>
    <w:rsid w:val="007E03B1"/>
    <w:rsid w:val="007E16C0"/>
    <w:rsid w:val="007F11FC"/>
    <w:rsid w:val="00801BDC"/>
    <w:rsid w:val="00811967"/>
    <w:rsid w:val="00821BEF"/>
    <w:rsid w:val="0084158D"/>
    <w:rsid w:val="00852688"/>
    <w:rsid w:val="0085384E"/>
    <w:rsid w:val="00860636"/>
    <w:rsid w:val="008624A5"/>
    <w:rsid w:val="00866D4F"/>
    <w:rsid w:val="00886EBB"/>
    <w:rsid w:val="0089296F"/>
    <w:rsid w:val="008A4A30"/>
    <w:rsid w:val="008B372C"/>
    <w:rsid w:val="008C01DD"/>
    <w:rsid w:val="008C5E9F"/>
    <w:rsid w:val="008D3C34"/>
    <w:rsid w:val="008D479A"/>
    <w:rsid w:val="008E7E60"/>
    <w:rsid w:val="0090417D"/>
    <w:rsid w:val="00907B9F"/>
    <w:rsid w:val="0091073B"/>
    <w:rsid w:val="009161F9"/>
    <w:rsid w:val="009254A3"/>
    <w:rsid w:val="0093322D"/>
    <w:rsid w:val="009368D5"/>
    <w:rsid w:val="009374E9"/>
    <w:rsid w:val="009445CA"/>
    <w:rsid w:val="0094704A"/>
    <w:rsid w:val="00950397"/>
    <w:rsid w:val="00956BB1"/>
    <w:rsid w:val="00962EC3"/>
    <w:rsid w:val="00966358"/>
    <w:rsid w:val="009803FA"/>
    <w:rsid w:val="0098699F"/>
    <w:rsid w:val="00987837"/>
    <w:rsid w:val="009A0342"/>
    <w:rsid w:val="009A280D"/>
    <w:rsid w:val="009A59F3"/>
    <w:rsid w:val="009B22B2"/>
    <w:rsid w:val="009B6BB4"/>
    <w:rsid w:val="009C5433"/>
    <w:rsid w:val="009C7557"/>
    <w:rsid w:val="009D5A5B"/>
    <w:rsid w:val="00A3114F"/>
    <w:rsid w:val="00A327AA"/>
    <w:rsid w:val="00A33454"/>
    <w:rsid w:val="00A33D60"/>
    <w:rsid w:val="00A365C8"/>
    <w:rsid w:val="00A4725E"/>
    <w:rsid w:val="00A53600"/>
    <w:rsid w:val="00A83D84"/>
    <w:rsid w:val="00AA302A"/>
    <w:rsid w:val="00AA38AB"/>
    <w:rsid w:val="00AA5338"/>
    <w:rsid w:val="00AC140F"/>
    <w:rsid w:val="00AD1C84"/>
    <w:rsid w:val="00AD4C3B"/>
    <w:rsid w:val="00AD7537"/>
    <w:rsid w:val="00AE315F"/>
    <w:rsid w:val="00AF093E"/>
    <w:rsid w:val="00B012E2"/>
    <w:rsid w:val="00B13DAC"/>
    <w:rsid w:val="00B1404A"/>
    <w:rsid w:val="00B16374"/>
    <w:rsid w:val="00B411A6"/>
    <w:rsid w:val="00B462C3"/>
    <w:rsid w:val="00B50C17"/>
    <w:rsid w:val="00B52AC1"/>
    <w:rsid w:val="00B5612F"/>
    <w:rsid w:val="00B564C1"/>
    <w:rsid w:val="00B65BE7"/>
    <w:rsid w:val="00B9050E"/>
    <w:rsid w:val="00BA1782"/>
    <w:rsid w:val="00BA62F8"/>
    <w:rsid w:val="00BB7A05"/>
    <w:rsid w:val="00BC498F"/>
    <w:rsid w:val="00BD192D"/>
    <w:rsid w:val="00BD7FA5"/>
    <w:rsid w:val="00BF35F0"/>
    <w:rsid w:val="00BF56D7"/>
    <w:rsid w:val="00C025D8"/>
    <w:rsid w:val="00C03024"/>
    <w:rsid w:val="00C2157C"/>
    <w:rsid w:val="00C34BBB"/>
    <w:rsid w:val="00C40172"/>
    <w:rsid w:val="00C409C6"/>
    <w:rsid w:val="00C41665"/>
    <w:rsid w:val="00C50C1E"/>
    <w:rsid w:val="00C702B8"/>
    <w:rsid w:val="00C85F49"/>
    <w:rsid w:val="00C926AF"/>
    <w:rsid w:val="00C972D3"/>
    <w:rsid w:val="00CA33F0"/>
    <w:rsid w:val="00CB35A5"/>
    <w:rsid w:val="00CB6C81"/>
    <w:rsid w:val="00CB7FE9"/>
    <w:rsid w:val="00CC0E1B"/>
    <w:rsid w:val="00CC7C71"/>
    <w:rsid w:val="00CD69A4"/>
    <w:rsid w:val="00CE0B57"/>
    <w:rsid w:val="00CE6ADD"/>
    <w:rsid w:val="00D11421"/>
    <w:rsid w:val="00D133D3"/>
    <w:rsid w:val="00D13554"/>
    <w:rsid w:val="00D16476"/>
    <w:rsid w:val="00D36CD4"/>
    <w:rsid w:val="00D417C7"/>
    <w:rsid w:val="00D44378"/>
    <w:rsid w:val="00D459A7"/>
    <w:rsid w:val="00D50E3A"/>
    <w:rsid w:val="00D51205"/>
    <w:rsid w:val="00D5140B"/>
    <w:rsid w:val="00D52D35"/>
    <w:rsid w:val="00D7440F"/>
    <w:rsid w:val="00D74FD4"/>
    <w:rsid w:val="00D814DA"/>
    <w:rsid w:val="00D86FE6"/>
    <w:rsid w:val="00D937A6"/>
    <w:rsid w:val="00DC002F"/>
    <w:rsid w:val="00DD1293"/>
    <w:rsid w:val="00DE31A2"/>
    <w:rsid w:val="00E06F88"/>
    <w:rsid w:val="00E21E54"/>
    <w:rsid w:val="00E32056"/>
    <w:rsid w:val="00E329E6"/>
    <w:rsid w:val="00E50A65"/>
    <w:rsid w:val="00E53F68"/>
    <w:rsid w:val="00E5556E"/>
    <w:rsid w:val="00E61598"/>
    <w:rsid w:val="00E6445E"/>
    <w:rsid w:val="00E70D92"/>
    <w:rsid w:val="00E712FD"/>
    <w:rsid w:val="00E81E77"/>
    <w:rsid w:val="00E82C55"/>
    <w:rsid w:val="00E975EF"/>
    <w:rsid w:val="00EB233F"/>
    <w:rsid w:val="00EB2A5D"/>
    <w:rsid w:val="00ED5298"/>
    <w:rsid w:val="00ED590D"/>
    <w:rsid w:val="00ED7737"/>
    <w:rsid w:val="00EF0524"/>
    <w:rsid w:val="00F05CC5"/>
    <w:rsid w:val="00F1025C"/>
    <w:rsid w:val="00F24D40"/>
    <w:rsid w:val="00F36B2D"/>
    <w:rsid w:val="00F4157A"/>
    <w:rsid w:val="00F415BD"/>
    <w:rsid w:val="00F57E3F"/>
    <w:rsid w:val="00F603CB"/>
    <w:rsid w:val="00F61D64"/>
    <w:rsid w:val="00F671A2"/>
    <w:rsid w:val="00F71069"/>
    <w:rsid w:val="00F85BCE"/>
    <w:rsid w:val="00F85BCF"/>
    <w:rsid w:val="00F90A0C"/>
    <w:rsid w:val="00F93739"/>
    <w:rsid w:val="00F93BB7"/>
    <w:rsid w:val="00FA665A"/>
    <w:rsid w:val="00FC0FA2"/>
    <w:rsid w:val="00FD32B4"/>
    <w:rsid w:val="00FF1EC4"/>
    <w:rsid w:val="00FF30F3"/>
    <w:rsid w:val="025E172F"/>
    <w:rsid w:val="156902B8"/>
    <w:rsid w:val="1D7D1042"/>
    <w:rsid w:val="20500E9F"/>
    <w:rsid w:val="2303614B"/>
    <w:rsid w:val="3D270F5B"/>
    <w:rsid w:val="4FAE1EA1"/>
    <w:rsid w:val="5E4FB7ED"/>
    <w:rsid w:val="66420C45"/>
    <w:rsid w:val="749776B4"/>
    <w:rsid w:val="7E3FD6C7"/>
    <w:rsid w:val="7FBFF9A7"/>
    <w:rsid w:val="9FB96D98"/>
    <w:rsid w:val="AB7E4A7A"/>
    <w:rsid w:val="BE9FBC9F"/>
    <w:rsid w:val="D37778F4"/>
    <w:rsid w:val="F5BDD1FD"/>
    <w:rsid w:val="FBE31E8C"/>
    <w:rsid w:val="FDD59A25"/>
    <w:rsid w:val="FDFE7577"/>
    <w:rsid w:val="FFBEFB8E"/>
    <w:rsid w:val="FFDF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9"/>
    <w:qFormat/>
    <w:uiPriority w:val="9"/>
    <w:pPr>
      <w:spacing w:line="580" w:lineRule="exact"/>
      <w:ind w:firstLine="200" w:firstLineChars="200"/>
      <w:outlineLvl w:val="0"/>
    </w:pPr>
    <w:rPr>
      <w:rFonts w:eastAsia="黑体"/>
      <w:bCs/>
      <w:kern w:val="44"/>
      <w:szCs w:val="44"/>
    </w:rPr>
  </w:style>
  <w:style w:type="paragraph" w:styleId="3">
    <w:name w:val="heading 2"/>
    <w:basedOn w:val="1"/>
    <w:next w:val="1"/>
    <w:link w:val="20"/>
    <w:unhideWhenUsed/>
    <w:qFormat/>
    <w:uiPriority w:val="9"/>
    <w:pPr>
      <w:spacing w:line="580" w:lineRule="exact"/>
      <w:ind w:firstLine="200" w:firstLineChars="200"/>
      <w:outlineLvl w:val="1"/>
    </w:pPr>
    <w:rPr>
      <w:rFonts w:eastAsia="楷体_GB2312" w:asciiTheme="majorHAnsi" w:hAnsiTheme="majorHAnsi" w:cstheme="majorBidi"/>
      <w:b/>
      <w:bCs/>
      <w:szCs w:val="32"/>
    </w:rPr>
  </w:style>
  <w:style w:type="paragraph" w:styleId="4">
    <w:name w:val="heading 3"/>
    <w:basedOn w:val="1"/>
    <w:next w:val="1"/>
    <w:link w:val="22"/>
    <w:unhideWhenUsed/>
    <w:qFormat/>
    <w:uiPriority w:val="9"/>
    <w:pPr>
      <w:spacing w:line="580" w:lineRule="exact"/>
      <w:ind w:firstLine="200" w:firstLineChars="200"/>
      <w:outlineLvl w:val="2"/>
    </w:pPr>
    <w:rPr>
      <w:b/>
      <w:bCs/>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style>
  <w:style w:type="paragraph" w:styleId="6">
    <w:name w:val="Balloon Text"/>
    <w:basedOn w:val="1"/>
    <w:link w:val="16"/>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5"/>
    <w:next w:val="5"/>
    <w:link w:val="24"/>
    <w:semiHidden/>
    <w:unhideWhenUsed/>
    <w:qFormat/>
    <w:uiPriority w:val="99"/>
    <w:rPr>
      <w:b/>
      <w:bCs/>
    </w:rPr>
  </w:style>
  <w:style w:type="character" w:styleId="13">
    <w:name w:val="Strong"/>
    <w:qFormat/>
    <w:uiPriority w:val="0"/>
    <w:rPr>
      <w:rFonts w:ascii="Times New Roman" w:hAnsi="Times New Roman" w:eastAsia="宋体" w:cs="Times New Roman"/>
      <w:b/>
    </w:rPr>
  </w:style>
  <w:style w:type="character" w:styleId="14">
    <w:name w:val="page number"/>
    <w:basedOn w:val="12"/>
    <w:qFormat/>
    <w:uiPriority w:val="0"/>
  </w:style>
  <w:style w:type="character" w:styleId="15">
    <w:name w:val="annotation reference"/>
    <w:basedOn w:val="12"/>
    <w:semiHidden/>
    <w:unhideWhenUsed/>
    <w:qFormat/>
    <w:uiPriority w:val="99"/>
    <w:rPr>
      <w:sz w:val="21"/>
      <w:szCs w:val="21"/>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页眉 字符"/>
    <w:basedOn w:val="12"/>
    <w:link w:val="8"/>
    <w:semiHidden/>
    <w:qFormat/>
    <w:uiPriority w:val="99"/>
    <w:rPr>
      <w:rFonts w:ascii="Times New Roman" w:hAnsi="Times New Roman" w:eastAsia="宋体" w:cs="Times New Roman"/>
      <w:sz w:val="18"/>
      <w:szCs w:val="18"/>
    </w:rPr>
  </w:style>
  <w:style w:type="character" w:customStyle="1" w:styleId="18">
    <w:name w:val="页脚 字符"/>
    <w:basedOn w:val="12"/>
    <w:link w:val="7"/>
    <w:semiHidden/>
    <w:qFormat/>
    <w:uiPriority w:val="99"/>
    <w:rPr>
      <w:rFonts w:ascii="Times New Roman" w:hAnsi="Times New Roman" w:eastAsia="宋体" w:cs="Times New Roman"/>
      <w:sz w:val="18"/>
      <w:szCs w:val="18"/>
    </w:rPr>
  </w:style>
  <w:style w:type="character" w:customStyle="1" w:styleId="19">
    <w:name w:val="标题 1 字符"/>
    <w:basedOn w:val="12"/>
    <w:link w:val="2"/>
    <w:qFormat/>
    <w:uiPriority w:val="9"/>
    <w:rPr>
      <w:rFonts w:eastAsia="黑体"/>
      <w:bCs/>
      <w:kern w:val="44"/>
      <w:sz w:val="32"/>
      <w:szCs w:val="44"/>
    </w:rPr>
  </w:style>
  <w:style w:type="character" w:customStyle="1" w:styleId="20">
    <w:name w:val="标题 2 字符"/>
    <w:basedOn w:val="12"/>
    <w:link w:val="3"/>
    <w:qFormat/>
    <w:uiPriority w:val="9"/>
    <w:rPr>
      <w:rFonts w:eastAsia="楷体_GB2312" w:asciiTheme="majorHAnsi" w:hAnsiTheme="majorHAnsi" w:cstheme="majorBidi"/>
      <w:b/>
      <w:bCs/>
      <w:kern w:val="2"/>
      <w:sz w:val="32"/>
      <w:szCs w:val="32"/>
    </w:rPr>
  </w:style>
  <w:style w:type="paragraph" w:styleId="21">
    <w:name w:val="List Paragraph"/>
    <w:basedOn w:val="1"/>
    <w:qFormat/>
    <w:uiPriority w:val="99"/>
    <w:pPr>
      <w:ind w:firstLine="420" w:firstLineChars="200"/>
    </w:pPr>
  </w:style>
  <w:style w:type="character" w:customStyle="1" w:styleId="22">
    <w:name w:val="标题 3 字符"/>
    <w:basedOn w:val="12"/>
    <w:link w:val="4"/>
    <w:qFormat/>
    <w:uiPriority w:val="9"/>
    <w:rPr>
      <w:rFonts w:eastAsia="仿宋_GB2312"/>
      <w:b/>
      <w:bCs/>
      <w:kern w:val="2"/>
      <w:sz w:val="32"/>
      <w:szCs w:val="32"/>
    </w:rPr>
  </w:style>
  <w:style w:type="character" w:customStyle="1" w:styleId="23">
    <w:name w:val="批注文字 字符"/>
    <w:basedOn w:val="12"/>
    <w:link w:val="5"/>
    <w:qFormat/>
    <w:uiPriority w:val="99"/>
    <w:rPr>
      <w:rFonts w:eastAsia="仿宋_GB2312"/>
      <w:kern w:val="2"/>
      <w:sz w:val="32"/>
      <w:szCs w:val="24"/>
    </w:rPr>
  </w:style>
  <w:style w:type="character" w:customStyle="1" w:styleId="24">
    <w:name w:val="批注主题 字符"/>
    <w:basedOn w:val="23"/>
    <w:link w:val="10"/>
    <w:semiHidden/>
    <w:qFormat/>
    <w:uiPriority w:val="99"/>
    <w:rPr>
      <w:rFonts w:eastAsia="仿宋_GB2312"/>
      <w:b/>
      <w:bCs/>
      <w:kern w:val="2"/>
      <w:sz w:val="32"/>
      <w:szCs w:val="24"/>
    </w:rPr>
  </w:style>
  <w:style w:type="paragraph" w:customStyle="1" w:styleId="25">
    <w:name w:val="Char"/>
    <w:basedOn w:val="1"/>
    <w:qFormat/>
    <w:uiPriority w:val="0"/>
    <w:rPr>
      <w:rFonts w:eastAsia="宋体"/>
      <w:sz w:val="21"/>
    </w:rPr>
  </w:style>
  <w:style w:type="paragraph" w:customStyle="1" w:styleId="26">
    <w:name w:val="Revision"/>
    <w:hidden/>
    <w:semiHidden/>
    <w:uiPriority w:val="99"/>
    <w:rPr>
      <w:rFonts w:ascii="Times New Roman" w:hAnsi="Times New Roman" w:eastAsia="仿宋_GB2312" w:cs="Times New Roman"/>
      <w:kern w:val="2"/>
      <w:sz w:val="32"/>
      <w:szCs w:val="24"/>
      <w:lang w:val="en-US" w:eastAsia="zh-CN" w:bidi="ar-SA"/>
    </w:rPr>
  </w:style>
  <w:style w:type="paragraph" w:customStyle="1" w:styleId="27">
    <w:name w:val="pf0"/>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28">
    <w:name w:val="cf01"/>
    <w:basedOn w:val="12"/>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12255</Words>
  <Characters>13015</Characters>
  <Lines>96</Lines>
  <Paragraphs>27</Paragraphs>
  <TotalTime>1079</TotalTime>
  <ScaleCrop>false</ScaleCrop>
  <LinksUpToDate>false</LinksUpToDate>
  <CharactersWithSpaces>13180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2019-03-08T11:34:00Z</dcterms:created>
  <dc:creator>桂鑫</dc:creator>
  <cp:lastModifiedBy>-Jus</cp:lastModifiedBy>
  <dcterms:modified xsi:type="dcterms:W3CDTF">2023-06-01T01:49:29Z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BB3A07148B7F45628308228D32F770B1_12</vt:lpwstr>
  </property>
</Properties>
</file>