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楷体_GB2312" w:hAnsi="宋体" w:eastAsia="楷体_GB2312" w:cs="宋体"/>
          <w:b/>
          <w:sz w:val="32"/>
          <w:szCs w:val="32"/>
        </w:rPr>
      </w:pPr>
      <w:r>
        <w:rPr>
          <w:rFonts w:hint="eastAsia" w:ascii="楷体_GB2312" w:hAnsi="宋体" w:eastAsia="楷体_GB2312" w:cs="宋体"/>
          <w:b/>
          <w:sz w:val="32"/>
          <w:szCs w:val="32"/>
          <w:lang w:eastAsia="zh-CN"/>
        </w:rPr>
        <w:t>福田区文联</w:t>
      </w:r>
      <w:r>
        <w:rPr>
          <w:rFonts w:hint="eastAsia" w:ascii="楷体_GB2312" w:hAnsi="宋体" w:eastAsia="楷体_GB2312" w:cs="宋体"/>
          <w:b/>
          <w:sz w:val="32"/>
          <w:szCs w:val="32"/>
        </w:rPr>
        <w:t>一般公共预算财政拨款“三公”经费支出</w:t>
      </w:r>
    </w:p>
    <w:p>
      <w:pPr>
        <w:numPr>
          <w:ilvl w:val="0"/>
          <w:numId w:val="0"/>
        </w:numPr>
        <w:jc w:val="center"/>
        <w:rPr>
          <w:rFonts w:hint="eastAsia" w:ascii="楷体_GB2312" w:hAnsi="宋体" w:eastAsia="楷体_GB2312" w:cs="宋体"/>
          <w:b/>
          <w:sz w:val="32"/>
          <w:szCs w:val="32"/>
        </w:rPr>
      </w:pPr>
      <w:r>
        <w:rPr>
          <w:rFonts w:hint="eastAsia" w:ascii="楷体_GB2312" w:hAnsi="宋体" w:eastAsia="楷体_GB2312" w:cs="宋体"/>
          <w:b/>
          <w:sz w:val="32"/>
          <w:szCs w:val="32"/>
        </w:rPr>
        <w:t>决算情况说明</w:t>
      </w:r>
    </w:p>
    <w:p>
      <w:pPr>
        <w:numPr>
          <w:ilvl w:val="0"/>
          <w:numId w:val="0"/>
        </w:numPr>
        <w:ind w:left="0" w:leftChars="0" w:firstLine="640" w:firstLineChars="200"/>
        <w:rPr>
          <w:rFonts w:hint="eastAsia" w:ascii="仿宋_GB2312" w:hAnsi="宋体" w:eastAsia="仿宋_GB2312" w:cs="宋体"/>
          <w:b w:val="0"/>
          <w:bCs/>
          <w:sz w:val="32"/>
          <w:szCs w:val="32"/>
          <w:lang w:val="en-US" w:eastAsia="zh-CN"/>
        </w:rPr>
      </w:pPr>
      <w:r>
        <w:rPr>
          <w:rFonts w:hint="eastAsia" w:ascii="仿宋_GB2312" w:hAnsi="宋体" w:eastAsia="仿宋_GB2312" w:cs="宋体"/>
          <w:b w:val="0"/>
          <w:bCs/>
          <w:sz w:val="32"/>
          <w:szCs w:val="32"/>
          <w:lang w:val="en-US" w:eastAsia="zh-CN"/>
        </w:rPr>
        <w:t>2018年度一般公共预算财政拨款“三公”经费财政拨款支出9.18万元，其中因公出国（境）费5.32元，公务接待费0元，公务用车购置及运行费3.86万元。</w:t>
      </w:r>
    </w:p>
    <w:p>
      <w:pPr>
        <w:numPr>
          <w:ilvl w:val="0"/>
          <w:numId w:val="0"/>
        </w:numPr>
        <w:ind w:left="0" w:leftChars="0" w:firstLine="640" w:firstLineChars="200"/>
        <w:rPr>
          <w:rFonts w:hint="eastAsia" w:ascii="仿宋_GB2312" w:hAnsi="宋体" w:eastAsia="仿宋_GB2312" w:cs="宋体"/>
          <w:b w:val="0"/>
          <w:bCs/>
          <w:sz w:val="32"/>
          <w:szCs w:val="32"/>
          <w:lang w:val="en-US" w:eastAsia="zh-CN"/>
        </w:rPr>
      </w:pPr>
      <w:r>
        <w:rPr>
          <w:rFonts w:hint="eastAsia" w:ascii="仿宋_GB2312" w:hAnsi="宋体" w:eastAsia="仿宋_GB2312" w:cs="宋体"/>
          <w:b w:val="0"/>
          <w:bCs/>
          <w:sz w:val="32"/>
          <w:szCs w:val="32"/>
          <w:lang w:val="en-US" w:eastAsia="zh-CN"/>
        </w:rPr>
        <w:t>公务用车购置及运行费较2017年度决算数减少0.02万元，减少了1%。</w:t>
      </w:r>
      <w:r>
        <w:rPr>
          <w:rFonts w:hint="eastAsia" w:ascii="仿宋_GB2312" w:hAnsi="宋体" w:eastAsia="仿宋_GB2312" w:cs="Times New Roman"/>
          <w:sz w:val="32"/>
          <w:szCs w:val="32"/>
        </w:rPr>
        <w:t>主要包括：（1）未更新购置，无购置支出；（2）公务车保有量</w:t>
      </w:r>
      <w:r>
        <w:rPr>
          <w:rFonts w:hint="eastAsia" w:ascii="仿宋_GB2312" w:eastAsia="仿宋_GB2312" w:cs="Times New Roman"/>
          <w:sz w:val="32"/>
          <w:szCs w:val="32"/>
          <w:lang w:val="en-US" w:eastAsia="zh-CN"/>
        </w:rPr>
        <w:t>1</w:t>
      </w:r>
      <w:r>
        <w:rPr>
          <w:rFonts w:hint="eastAsia" w:ascii="仿宋_GB2312" w:hAnsi="宋体" w:eastAsia="仿宋_GB2312" w:cs="Times New Roman"/>
          <w:sz w:val="32"/>
          <w:szCs w:val="32"/>
        </w:rPr>
        <w:t>辆，全年运行维护费支出</w:t>
      </w:r>
      <w:r>
        <w:rPr>
          <w:rFonts w:hint="eastAsia" w:ascii="仿宋_GB2312" w:eastAsia="仿宋_GB2312" w:cs="Times New Roman"/>
          <w:sz w:val="32"/>
          <w:szCs w:val="32"/>
          <w:lang w:val="en-US" w:eastAsia="zh-CN"/>
        </w:rPr>
        <w:t>3.86</w:t>
      </w:r>
      <w:r>
        <w:rPr>
          <w:rFonts w:hint="eastAsia" w:ascii="仿宋_GB2312" w:hAnsi="宋体" w:eastAsia="仿宋_GB2312" w:cs="Times New Roman"/>
          <w:sz w:val="32"/>
          <w:szCs w:val="32"/>
        </w:rPr>
        <w:t>万元</w:t>
      </w:r>
      <w:r>
        <w:rPr>
          <w:rFonts w:hint="eastAsia" w:ascii="仿宋_GB2312" w:eastAsia="仿宋_GB2312" w:cs="Times New Roman"/>
          <w:sz w:val="32"/>
          <w:szCs w:val="32"/>
          <w:lang w:eastAsia="zh-CN"/>
        </w:rPr>
        <w:t>。区文联</w:t>
      </w:r>
      <w:r>
        <w:rPr>
          <w:rFonts w:hint="eastAsia" w:ascii="仿宋_GB2312" w:hAnsi="宋体" w:eastAsia="仿宋_GB2312" w:cs="Times New Roman"/>
          <w:sz w:val="32"/>
          <w:szCs w:val="32"/>
        </w:rPr>
        <w:t>提倡节俭开支</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贯彻落实厉行节约规定、中央八项规定精神等原因减少公务用车购置及运行维护费支出。</w:t>
      </w:r>
    </w:p>
    <w:p>
      <w:pPr>
        <w:numPr>
          <w:ilvl w:val="0"/>
          <w:numId w:val="0"/>
        </w:numPr>
        <w:ind w:left="0" w:leftChars="0" w:firstLine="640" w:firstLineChars="200"/>
        <w:rPr>
          <w:rFonts w:hint="eastAsia" w:ascii="仿宋_GB2312" w:hAnsi="宋体" w:eastAsia="仿宋_GB2312" w:cs="宋体"/>
          <w:b w:val="0"/>
          <w:bCs/>
          <w:sz w:val="32"/>
          <w:szCs w:val="32"/>
          <w:lang w:val="en-US" w:eastAsia="zh-CN"/>
        </w:rPr>
      </w:pPr>
      <w:r>
        <w:rPr>
          <w:rFonts w:hint="eastAsia" w:ascii="仿宋_GB2312" w:hAnsi="宋体" w:eastAsia="仿宋_GB2312" w:cs="宋体"/>
          <w:b w:val="0"/>
          <w:bCs/>
          <w:sz w:val="32"/>
          <w:szCs w:val="32"/>
          <w:lang w:val="en-US" w:eastAsia="zh-CN"/>
        </w:rPr>
        <w:t>2018年“三公”经费具体情况如下：</w:t>
      </w:r>
    </w:p>
    <w:p>
      <w:pPr>
        <w:spacing w:line="540" w:lineRule="exact"/>
        <w:ind w:firstLine="660"/>
        <w:jc w:val="left"/>
        <w:rPr>
          <w:rFonts w:hint="eastAsia" w:ascii="仿宋" w:hAnsi="仿宋" w:eastAsia="仿宋"/>
          <w:sz w:val="32"/>
          <w:szCs w:val="32"/>
        </w:rPr>
      </w:pPr>
      <w:r>
        <w:rPr>
          <w:rFonts w:hint="eastAsia" w:ascii="仿宋_GB2312" w:hAnsi="宋体" w:eastAsia="仿宋_GB2312" w:cs="宋体"/>
          <w:b w:val="0"/>
          <w:bCs/>
          <w:sz w:val="32"/>
          <w:szCs w:val="32"/>
          <w:lang w:val="en-US" w:eastAsia="zh-CN"/>
        </w:rPr>
        <w:t>1、因公出国（境）费指单位工作人员公务出国（境）的住宿费、旅费、伙食补助费、杂费、培训费等支出。文联2018年</w:t>
      </w:r>
      <w:r>
        <w:rPr>
          <w:rFonts w:hint="eastAsia" w:ascii="仿宋" w:hAnsi="仿宋" w:eastAsia="仿宋"/>
          <w:sz w:val="32"/>
          <w:szCs w:val="32"/>
        </w:rPr>
        <w:t>因公出国（境）费</w:t>
      </w:r>
      <w:r>
        <w:rPr>
          <w:rFonts w:hint="eastAsia" w:ascii="仿宋" w:hAnsi="仿宋" w:eastAsia="仿宋"/>
          <w:sz w:val="32"/>
          <w:szCs w:val="32"/>
          <w:lang w:val="en-US" w:eastAsia="zh-CN"/>
        </w:rPr>
        <w:t>5.32万元</w:t>
      </w:r>
      <w:r>
        <w:rPr>
          <w:rFonts w:hint="eastAsia" w:ascii="仿宋" w:hAnsi="仿宋" w:eastAsia="仿宋"/>
          <w:sz w:val="32"/>
          <w:szCs w:val="32"/>
        </w:rPr>
        <w:t>。</w:t>
      </w:r>
    </w:p>
    <w:p>
      <w:pPr>
        <w:numPr>
          <w:ilvl w:val="0"/>
          <w:numId w:val="0"/>
        </w:numPr>
        <w:ind w:firstLine="640" w:firstLineChars="200"/>
        <w:rPr>
          <w:rFonts w:hint="eastAsia" w:ascii="仿宋_GB2312" w:hAnsi="宋体" w:eastAsia="仿宋_GB2312" w:cs="宋体"/>
          <w:b w:val="0"/>
          <w:bCs/>
          <w:sz w:val="32"/>
          <w:szCs w:val="32"/>
          <w:lang w:val="en-US" w:eastAsia="zh-CN"/>
        </w:rPr>
      </w:pP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公务用车购置及运行维护费支出</w:t>
      </w:r>
      <w:r>
        <w:rPr>
          <w:rFonts w:hint="eastAsia" w:ascii="仿宋_GB2312" w:hAnsi="宋体" w:eastAsia="仿宋_GB2312" w:cs="Times New Roman"/>
          <w:sz w:val="32"/>
          <w:szCs w:val="32"/>
          <w:lang w:val="en-US" w:eastAsia="zh-CN"/>
        </w:rPr>
        <w:t>3.87</w:t>
      </w:r>
      <w:r>
        <w:rPr>
          <w:rFonts w:hint="eastAsia" w:ascii="仿宋_GB2312" w:eastAsia="仿宋_GB2312" w:cs="Times New Roman"/>
          <w:sz w:val="32"/>
          <w:szCs w:val="32"/>
          <w:lang w:val="en-US" w:eastAsia="zh-CN"/>
        </w:rPr>
        <w:t>万</w:t>
      </w:r>
      <w:r>
        <w:rPr>
          <w:rFonts w:hint="eastAsia" w:ascii="仿宋_GB2312" w:hAnsi="宋体" w:eastAsia="仿宋_GB2312" w:cs="Times New Roman"/>
          <w:sz w:val="32"/>
          <w:szCs w:val="32"/>
        </w:rPr>
        <w:t>元，主要包括：（1）未更新购置，无购置支出；（2）公务车保有量</w:t>
      </w:r>
      <w:r>
        <w:rPr>
          <w:rFonts w:hint="eastAsia" w:ascii="仿宋_GB2312" w:eastAsia="仿宋_GB2312" w:cs="Times New Roman"/>
          <w:sz w:val="32"/>
          <w:szCs w:val="32"/>
          <w:lang w:val="en-US" w:eastAsia="zh-CN"/>
        </w:rPr>
        <w:t>1</w:t>
      </w:r>
      <w:r>
        <w:rPr>
          <w:rFonts w:hint="eastAsia" w:ascii="仿宋_GB2312" w:hAnsi="宋体" w:eastAsia="仿宋_GB2312" w:cs="Times New Roman"/>
          <w:sz w:val="32"/>
          <w:szCs w:val="32"/>
        </w:rPr>
        <w:t>辆，全年运行维护费支出</w:t>
      </w:r>
      <w:r>
        <w:rPr>
          <w:rFonts w:hint="eastAsia" w:ascii="仿宋_GB2312" w:eastAsia="仿宋_GB2312" w:cs="Times New Roman"/>
          <w:sz w:val="32"/>
          <w:szCs w:val="32"/>
          <w:lang w:val="en-US" w:eastAsia="zh-CN"/>
        </w:rPr>
        <w:t>3.86</w:t>
      </w:r>
      <w:r>
        <w:rPr>
          <w:rFonts w:hint="eastAsia" w:ascii="仿宋_GB2312" w:hAnsi="宋体" w:eastAsia="仿宋_GB2312" w:cs="Times New Roman"/>
          <w:sz w:val="32"/>
          <w:szCs w:val="32"/>
        </w:rPr>
        <w:t>万元</w:t>
      </w:r>
      <w:r>
        <w:rPr>
          <w:rFonts w:hint="eastAsia" w:ascii="仿宋_GB2312" w:eastAsia="仿宋_GB2312" w:cs="Times New Roman"/>
          <w:sz w:val="32"/>
          <w:szCs w:val="32"/>
          <w:lang w:eastAsia="zh-CN"/>
        </w:rPr>
        <w:t>。区文联</w:t>
      </w:r>
      <w:r>
        <w:rPr>
          <w:rFonts w:hint="eastAsia" w:ascii="仿宋_GB2312" w:hAnsi="宋体" w:eastAsia="仿宋_GB2312" w:cs="Times New Roman"/>
          <w:sz w:val="32"/>
          <w:szCs w:val="32"/>
        </w:rPr>
        <w:t>提倡节俭开支</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贯彻落实厉行节约规定、中央</w:t>
      </w:r>
      <w:bookmarkStart w:id="0" w:name="_GoBack"/>
      <w:bookmarkEnd w:id="0"/>
      <w:r>
        <w:rPr>
          <w:rFonts w:hint="eastAsia" w:ascii="仿宋_GB2312" w:hAnsi="宋体" w:eastAsia="仿宋_GB2312" w:cs="Times New Roman"/>
          <w:sz w:val="32"/>
          <w:szCs w:val="32"/>
        </w:rPr>
        <w:t>八项规定精神等原因减少公务用车购置及运行维护费支出。</w:t>
      </w:r>
    </w:p>
    <w:p>
      <w:pPr>
        <w:numPr>
          <w:ilvl w:val="0"/>
          <w:numId w:val="0"/>
        </w:numPr>
        <w:ind w:firstLine="640" w:firstLineChars="200"/>
        <w:rPr>
          <w:rFonts w:hint="eastAsia" w:ascii="仿宋_GB2312" w:hAnsi="宋体" w:eastAsia="仿宋_GB2312" w:cs="宋体"/>
          <w:b w:val="0"/>
          <w:bCs/>
          <w:sz w:val="32"/>
          <w:szCs w:val="32"/>
          <w:lang w:val="en-US" w:eastAsia="zh-CN"/>
        </w:rPr>
      </w:pP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rPr>
        <w:t>公务接待费支出0万元，全年接待</w:t>
      </w:r>
      <w:r>
        <w:rPr>
          <w:rFonts w:hint="eastAsia" w:ascii="仿宋_GB2312" w:eastAsia="仿宋_GB2312" w:cs="Times New Roman"/>
          <w:sz w:val="32"/>
          <w:szCs w:val="32"/>
          <w:lang w:val="en-US" w:eastAsia="zh-CN"/>
        </w:rPr>
        <w:t>0</w:t>
      </w:r>
      <w:r>
        <w:rPr>
          <w:rFonts w:hint="eastAsia" w:ascii="仿宋_GB2312" w:hAnsi="宋体" w:eastAsia="仿宋_GB2312" w:cs="Times New Roman"/>
          <w:sz w:val="32"/>
          <w:szCs w:val="32"/>
        </w:rPr>
        <w:t>批次、0人次。</w:t>
      </w:r>
      <w:r>
        <w:rPr>
          <w:rFonts w:hint="eastAsia" w:ascii="仿宋_GB2312" w:hAnsi="宋体" w:eastAsia="仿宋_GB2312" w:cs="Times New Roman"/>
          <w:sz w:val="32"/>
          <w:szCs w:val="32"/>
          <w:lang w:eastAsia="zh-CN"/>
        </w:rPr>
        <w:t>与</w:t>
      </w:r>
      <w:r>
        <w:rPr>
          <w:rFonts w:hint="eastAsia" w:ascii="仿宋_GB2312" w:hAnsi="宋体" w:eastAsia="仿宋_GB2312" w:cs="Times New Roman"/>
          <w:sz w:val="32"/>
          <w:szCs w:val="32"/>
        </w:rPr>
        <w:t>201</w:t>
      </w:r>
      <w:r>
        <w:rPr>
          <w:rFonts w:hint="eastAsia" w:ascii="仿宋_GB2312" w:eastAsia="仿宋_GB2312" w:cs="Times New Roman"/>
          <w:sz w:val="32"/>
          <w:szCs w:val="32"/>
          <w:lang w:val="en-US" w:eastAsia="zh-CN"/>
        </w:rPr>
        <w:t>7</w:t>
      </w:r>
      <w:r>
        <w:rPr>
          <w:rFonts w:hint="eastAsia" w:ascii="仿宋_GB2312" w:hAnsi="宋体" w:eastAsia="仿宋_GB2312" w:cs="Times New Roman"/>
          <w:sz w:val="32"/>
          <w:szCs w:val="32"/>
        </w:rPr>
        <w:t>年</w:t>
      </w:r>
      <w:r>
        <w:rPr>
          <w:rFonts w:hint="eastAsia" w:ascii="仿宋_GB2312" w:hAnsi="宋体" w:eastAsia="仿宋_GB2312" w:cs="Times New Roman"/>
          <w:sz w:val="32"/>
          <w:szCs w:val="32"/>
          <w:lang w:eastAsia="zh-CN"/>
        </w:rPr>
        <w:t>持平</w:t>
      </w:r>
      <w:r>
        <w:rPr>
          <w:rFonts w:hint="eastAsia" w:ascii="仿宋_GB2312" w:hAnsi="宋体" w:eastAsia="仿宋_GB2312" w:cs="Times New Roman"/>
          <w:sz w:val="32"/>
          <w:szCs w:val="32"/>
        </w:rPr>
        <w:t>，主要原因是为贯彻落实《党政机关厉行节约反对浪费条例》，结合严控“三公”支出有关要求，相应压减接待经费支出。</w:t>
      </w:r>
    </w:p>
    <w:p/>
    <w:p>
      <w:pPr>
        <w:sectPr>
          <w:pgSz w:w="11906" w:h="16838"/>
          <w:pgMar w:top="1157" w:right="1800" w:bottom="1157" w:left="1800" w:header="851" w:footer="992" w:gutter="0"/>
          <w:cols w:space="0" w:num="1"/>
          <w:rtlGutter w:val="0"/>
          <w:docGrid w:type="lines" w:linePitch="312" w:charSpace="0"/>
        </w:sectPr>
      </w:pPr>
    </w:p>
    <w:p>
      <w:pPr>
        <w:pStyle w:val="5"/>
        <w:spacing w:line="377" w:lineRule="exact"/>
        <w:ind w:left="4059"/>
        <w:rPr>
          <w:rFonts w:hint="eastAsia" w:asciiTheme="majorEastAsia" w:hAnsiTheme="majorEastAsia" w:eastAsiaTheme="majorEastAsia" w:cstheme="majorEastAsia"/>
          <w:sz w:val="30"/>
          <w:szCs w:val="30"/>
          <w:highlight w:val="none"/>
          <w:lang w:eastAsia="zh-CN"/>
        </w:rPr>
      </w:pPr>
      <w:r>
        <w:rPr>
          <w:rFonts w:hint="eastAsia" w:asciiTheme="majorEastAsia" w:hAnsiTheme="majorEastAsia" w:eastAsiaTheme="majorEastAsia" w:cstheme="majorEastAsia"/>
          <w:w w:val="95"/>
          <w:sz w:val="30"/>
          <w:szCs w:val="30"/>
          <w:highlight w:val="none"/>
          <w:lang w:eastAsia="zh-CN"/>
        </w:rPr>
        <w:t>一般公共预算财政拨款“三公”经费支出决算表</w:t>
      </w:r>
    </w:p>
    <w:p>
      <w:pPr>
        <w:ind w:right="174"/>
        <w:jc w:val="center"/>
        <w:rPr>
          <w:rFonts w:hint="eastAsia"/>
          <w:w w:val="95"/>
          <w:sz w:val="20"/>
          <w:highlight w:val="none"/>
          <w:lang w:val="en-US" w:eastAsia="zh-CN"/>
        </w:rPr>
      </w:pPr>
    </w:p>
    <w:p>
      <w:pPr>
        <w:ind w:right="420" w:rightChars="0"/>
        <w:jc w:val="center"/>
        <w:rPr>
          <w:sz w:val="20"/>
          <w:highlight w:val="none"/>
          <w:lang w:eastAsia="zh-CN"/>
        </w:rPr>
      </w:pPr>
      <w:r>
        <w:rPr>
          <w:rFonts w:hint="eastAsia"/>
          <w:w w:val="95"/>
          <w:sz w:val="20"/>
          <w:highlight w:val="none"/>
          <w:lang w:val="en-US" w:eastAsia="zh-CN"/>
        </w:rPr>
        <w:t xml:space="preserve">                                                                                                                                      </w:t>
      </w:r>
      <w:r>
        <w:rPr>
          <w:w w:val="95"/>
          <w:sz w:val="20"/>
          <w:highlight w:val="none"/>
          <w:lang w:eastAsia="zh-CN"/>
        </w:rPr>
        <w:t>公开07表</w:t>
      </w:r>
    </w:p>
    <w:p>
      <w:pPr>
        <w:tabs>
          <w:tab w:val="left" w:pos="13665"/>
        </w:tabs>
        <w:spacing w:before="2" w:beforeLines="0" w:after="22" w:afterLines="0"/>
        <w:ind w:left="159"/>
        <w:jc w:val="both"/>
        <w:rPr>
          <w:sz w:val="20"/>
          <w:highlight w:val="none"/>
          <w:lang w:eastAsia="zh-CN"/>
        </w:rPr>
      </w:pPr>
      <w:r>
        <w:rPr>
          <w:sz w:val="20"/>
          <w:highlight w:val="none"/>
          <w:lang w:eastAsia="zh-CN"/>
        </w:rPr>
        <w:t>部门：</w:t>
      </w:r>
      <w:r>
        <w:rPr>
          <w:rFonts w:hint="eastAsia"/>
          <w:w w:val="105"/>
          <w:sz w:val="18"/>
          <w:highlight w:val="none"/>
          <w:lang w:eastAsia="zh-CN"/>
        </w:rPr>
        <w:t>深圳市福田区文学艺术界联合会</w:t>
      </w:r>
      <w:r>
        <w:rPr>
          <w:rFonts w:hint="eastAsia"/>
          <w:w w:val="105"/>
          <w:sz w:val="18"/>
          <w:highlight w:val="none"/>
          <w:lang w:val="en-US" w:eastAsia="zh-CN"/>
        </w:rPr>
        <w:t xml:space="preserve">                                                                                                   </w:t>
      </w:r>
      <w:r>
        <w:rPr>
          <w:sz w:val="20"/>
          <w:highlight w:val="none"/>
          <w:lang w:eastAsia="zh-CN"/>
        </w:rPr>
        <w:t>单位：万元</w:t>
      </w:r>
    </w:p>
    <w:tbl>
      <w:tblPr>
        <w:tblStyle w:val="3"/>
        <w:tblW w:w="14210" w:type="dxa"/>
        <w:tblInd w:w="95" w:type="dxa"/>
        <w:tblBorders>
          <w:top w:val="single" w:color="000000" w:sz="14" w:space="0"/>
          <w:left w:val="single" w:color="000000" w:sz="14" w:space="0"/>
          <w:bottom w:val="single" w:color="000000" w:sz="14" w:space="0"/>
          <w:right w:val="single" w:color="000000" w:sz="14" w:space="0"/>
          <w:insideH w:val="single" w:color="000000" w:sz="14" w:space="0"/>
          <w:insideV w:val="single" w:color="000000" w:sz="14" w:space="0"/>
        </w:tblBorders>
        <w:tblLayout w:type="fixed"/>
        <w:tblCellMar>
          <w:top w:w="0" w:type="dxa"/>
          <w:left w:w="0" w:type="dxa"/>
          <w:bottom w:w="0" w:type="dxa"/>
          <w:right w:w="0" w:type="dxa"/>
        </w:tblCellMar>
      </w:tblPr>
      <w:tblGrid>
        <w:gridCol w:w="714"/>
        <w:gridCol w:w="1214"/>
        <w:gridCol w:w="1214"/>
        <w:gridCol w:w="1215"/>
        <w:gridCol w:w="1215"/>
        <w:gridCol w:w="1734"/>
        <w:gridCol w:w="1215"/>
        <w:gridCol w:w="1214"/>
        <w:gridCol w:w="1214"/>
        <w:gridCol w:w="1215"/>
        <w:gridCol w:w="1215"/>
        <w:gridCol w:w="831"/>
      </w:tblGrid>
      <w:tr>
        <w:tblPrEx>
          <w:tblBorders>
            <w:top w:val="single" w:color="000000" w:sz="14" w:space="0"/>
            <w:left w:val="single" w:color="000000" w:sz="14" w:space="0"/>
            <w:bottom w:val="single" w:color="000000" w:sz="14" w:space="0"/>
            <w:right w:val="single" w:color="000000" w:sz="14" w:space="0"/>
            <w:insideH w:val="single" w:color="000000" w:sz="14" w:space="0"/>
            <w:insideV w:val="single" w:color="000000" w:sz="14" w:space="0"/>
          </w:tblBorders>
          <w:tblCellMar>
            <w:top w:w="0" w:type="dxa"/>
            <w:left w:w="0" w:type="dxa"/>
            <w:bottom w:w="0" w:type="dxa"/>
            <w:right w:w="0" w:type="dxa"/>
          </w:tblCellMar>
        </w:tblPrEx>
        <w:trPr>
          <w:trHeight w:val="574" w:hRule="exact"/>
        </w:trPr>
        <w:tc>
          <w:tcPr>
            <w:tcW w:w="7306" w:type="dxa"/>
            <w:gridSpan w:val="6"/>
            <w:tcBorders>
              <w:bottom w:val="single" w:color="000000" w:sz="8" w:space="0"/>
              <w:right w:val="single" w:color="000000" w:sz="8" w:space="0"/>
            </w:tcBorders>
            <w:vAlign w:val="top"/>
          </w:tcPr>
          <w:p>
            <w:pPr>
              <w:pStyle w:val="6"/>
              <w:spacing w:before="96" w:beforeLines="0"/>
              <w:ind w:left="2838" w:right="2840"/>
              <w:jc w:val="center"/>
              <w:rPr>
                <w:sz w:val="22"/>
                <w:szCs w:val="22"/>
                <w:highlight w:val="none"/>
              </w:rPr>
            </w:pPr>
            <w:r>
              <w:rPr>
                <w:sz w:val="22"/>
                <w:szCs w:val="22"/>
                <w:highlight w:val="none"/>
              </w:rPr>
              <w:t>预算数</w:t>
            </w:r>
          </w:p>
        </w:tc>
        <w:tc>
          <w:tcPr>
            <w:tcW w:w="6904" w:type="dxa"/>
            <w:gridSpan w:val="6"/>
            <w:tcBorders>
              <w:left w:val="single" w:color="000000" w:sz="8" w:space="0"/>
              <w:bottom w:val="single" w:color="000000" w:sz="8" w:space="0"/>
            </w:tcBorders>
            <w:vAlign w:val="top"/>
          </w:tcPr>
          <w:p>
            <w:pPr>
              <w:pStyle w:val="6"/>
              <w:spacing w:before="96" w:beforeLines="0"/>
              <w:ind w:left="2846" w:right="2832"/>
              <w:jc w:val="center"/>
              <w:rPr>
                <w:sz w:val="22"/>
                <w:szCs w:val="22"/>
                <w:highlight w:val="none"/>
              </w:rPr>
            </w:pPr>
            <w:r>
              <w:rPr>
                <w:sz w:val="22"/>
                <w:szCs w:val="22"/>
                <w:highlight w:val="none"/>
              </w:rPr>
              <w:t>决算数</w:t>
            </w:r>
          </w:p>
        </w:tc>
      </w:tr>
      <w:tr>
        <w:tblPrEx>
          <w:tblBorders>
            <w:top w:val="single" w:color="000000" w:sz="14" w:space="0"/>
            <w:left w:val="single" w:color="000000" w:sz="14" w:space="0"/>
            <w:bottom w:val="single" w:color="000000" w:sz="14" w:space="0"/>
            <w:right w:val="single" w:color="000000" w:sz="14" w:space="0"/>
            <w:insideH w:val="single" w:color="000000" w:sz="14" w:space="0"/>
            <w:insideV w:val="single" w:color="000000" w:sz="14" w:space="0"/>
          </w:tblBorders>
        </w:tblPrEx>
        <w:trPr>
          <w:trHeight w:val="614" w:hRule="exact"/>
        </w:trPr>
        <w:tc>
          <w:tcPr>
            <w:tcW w:w="714" w:type="dxa"/>
            <w:vMerge w:val="restart"/>
            <w:tcBorders>
              <w:top w:val="single" w:color="000000" w:sz="8" w:space="0"/>
              <w:right w:val="single" w:color="000000" w:sz="8" w:space="0"/>
            </w:tcBorders>
            <w:vAlign w:val="top"/>
          </w:tcPr>
          <w:p>
            <w:pPr>
              <w:pStyle w:val="6"/>
              <w:rPr>
                <w:sz w:val="22"/>
                <w:szCs w:val="22"/>
                <w:highlight w:val="none"/>
              </w:rPr>
            </w:pPr>
          </w:p>
          <w:p>
            <w:pPr>
              <w:pStyle w:val="6"/>
              <w:spacing w:before="144" w:beforeLines="0"/>
              <w:ind w:left="369"/>
              <w:rPr>
                <w:sz w:val="22"/>
                <w:szCs w:val="22"/>
                <w:highlight w:val="none"/>
              </w:rPr>
            </w:pPr>
            <w:r>
              <w:rPr>
                <w:sz w:val="22"/>
                <w:szCs w:val="22"/>
                <w:highlight w:val="none"/>
              </w:rPr>
              <w:t>合计</w:t>
            </w:r>
          </w:p>
        </w:tc>
        <w:tc>
          <w:tcPr>
            <w:tcW w:w="1214" w:type="dxa"/>
            <w:vMerge w:val="restart"/>
            <w:tcBorders>
              <w:top w:val="single" w:color="000000" w:sz="8" w:space="0"/>
              <w:left w:val="single" w:color="000000" w:sz="8" w:space="0"/>
              <w:right w:val="single" w:color="000000" w:sz="8" w:space="0"/>
            </w:tcBorders>
            <w:vAlign w:val="top"/>
          </w:tcPr>
          <w:p>
            <w:pPr>
              <w:pStyle w:val="6"/>
              <w:spacing w:before="9" w:beforeLines="0"/>
              <w:rPr>
                <w:sz w:val="22"/>
                <w:szCs w:val="22"/>
                <w:highlight w:val="none"/>
              </w:rPr>
            </w:pPr>
          </w:p>
          <w:p>
            <w:pPr>
              <w:pStyle w:val="6"/>
              <w:spacing w:line="280" w:lineRule="exact"/>
              <w:ind w:left="158"/>
              <w:rPr>
                <w:sz w:val="22"/>
                <w:szCs w:val="22"/>
                <w:highlight w:val="none"/>
              </w:rPr>
            </w:pPr>
            <w:r>
              <w:rPr>
                <w:sz w:val="22"/>
                <w:szCs w:val="22"/>
                <w:highlight w:val="none"/>
              </w:rPr>
              <w:t>因公出国</w:t>
            </w:r>
          </w:p>
          <w:p>
            <w:pPr>
              <w:pStyle w:val="6"/>
              <w:spacing w:line="280" w:lineRule="exact"/>
              <w:ind w:left="158"/>
              <w:rPr>
                <w:sz w:val="22"/>
                <w:szCs w:val="22"/>
                <w:highlight w:val="none"/>
              </w:rPr>
            </w:pPr>
            <w:r>
              <w:rPr>
                <w:sz w:val="22"/>
                <w:szCs w:val="22"/>
                <w:highlight w:val="none"/>
              </w:rPr>
              <w:t>（境）费</w:t>
            </w:r>
          </w:p>
        </w:tc>
        <w:tc>
          <w:tcPr>
            <w:tcW w:w="3644" w:type="dxa"/>
            <w:gridSpan w:val="3"/>
            <w:tcBorders>
              <w:top w:val="single" w:color="000000" w:sz="8" w:space="0"/>
              <w:left w:val="single" w:color="000000" w:sz="8" w:space="0"/>
              <w:bottom w:val="single" w:color="000000" w:sz="8" w:space="0"/>
              <w:right w:val="single" w:color="000000" w:sz="8" w:space="0"/>
            </w:tcBorders>
            <w:vAlign w:val="top"/>
          </w:tcPr>
          <w:p>
            <w:pPr>
              <w:pStyle w:val="6"/>
              <w:spacing w:before="124" w:beforeLines="0"/>
              <w:ind w:left="710"/>
              <w:rPr>
                <w:sz w:val="22"/>
                <w:szCs w:val="22"/>
                <w:highlight w:val="none"/>
                <w:lang w:eastAsia="zh-CN"/>
              </w:rPr>
            </w:pPr>
            <w:r>
              <w:rPr>
                <w:sz w:val="22"/>
                <w:szCs w:val="22"/>
                <w:highlight w:val="none"/>
                <w:lang w:eastAsia="zh-CN"/>
              </w:rPr>
              <w:t>公务用车购置及运行费</w:t>
            </w:r>
          </w:p>
        </w:tc>
        <w:tc>
          <w:tcPr>
            <w:tcW w:w="1734" w:type="dxa"/>
            <w:vMerge w:val="restart"/>
            <w:tcBorders>
              <w:top w:val="single" w:color="000000" w:sz="8" w:space="0"/>
              <w:left w:val="single" w:color="000000" w:sz="8" w:space="0"/>
              <w:right w:val="single" w:color="000000" w:sz="8" w:space="0"/>
            </w:tcBorders>
            <w:vAlign w:val="top"/>
          </w:tcPr>
          <w:p>
            <w:pPr>
              <w:pStyle w:val="6"/>
              <w:rPr>
                <w:sz w:val="22"/>
                <w:szCs w:val="22"/>
                <w:highlight w:val="none"/>
                <w:lang w:eastAsia="zh-CN"/>
              </w:rPr>
            </w:pPr>
          </w:p>
          <w:p>
            <w:pPr>
              <w:pStyle w:val="6"/>
              <w:spacing w:before="144" w:beforeLines="0"/>
              <w:ind w:left="48"/>
              <w:rPr>
                <w:sz w:val="22"/>
                <w:szCs w:val="22"/>
                <w:highlight w:val="none"/>
              </w:rPr>
            </w:pPr>
            <w:r>
              <w:rPr>
                <w:sz w:val="22"/>
                <w:szCs w:val="22"/>
                <w:highlight w:val="none"/>
              </w:rPr>
              <w:t>公务接待费</w:t>
            </w:r>
          </w:p>
        </w:tc>
        <w:tc>
          <w:tcPr>
            <w:tcW w:w="1215" w:type="dxa"/>
            <w:vMerge w:val="restart"/>
            <w:tcBorders>
              <w:top w:val="single" w:color="000000" w:sz="8" w:space="0"/>
              <w:left w:val="single" w:color="000000" w:sz="8" w:space="0"/>
              <w:right w:val="single" w:color="000000" w:sz="8" w:space="0"/>
            </w:tcBorders>
            <w:vAlign w:val="top"/>
          </w:tcPr>
          <w:p>
            <w:pPr>
              <w:pStyle w:val="6"/>
              <w:rPr>
                <w:sz w:val="22"/>
                <w:szCs w:val="22"/>
                <w:highlight w:val="none"/>
              </w:rPr>
            </w:pPr>
          </w:p>
          <w:p>
            <w:pPr>
              <w:pStyle w:val="6"/>
              <w:spacing w:before="144" w:beforeLines="0"/>
              <w:ind w:left="379"/>
              <w:rPr>
                <w:sz w:val="22"/>
                <w:szCs w:val="22"/>
                <w:highlight w:val="none"/>
              </w:rPr>
            </w:pPr>
            <w:r>
              <w:rPr>
                <w:sz w:val="22"/>
                <w:szCs w:val="22"/>
                <w:highlight w:val="none"/>
              </w:rPr>
              <w:t>合计</w:t>
            </w:r>
          </w:p>
        </w:tc>
        <w:tc>
          <w:tcPr>
            <w:tcW w:w="1214" w:type="dxa"/>
            <w:vMerge w:val="restart"/>
            <w:tcBorders>
              <w:top w:val="single" w:color="000000" w:sz="8" w:space="0"/>
              <w:left w:val="single" w:color="000000" w:sz="8" w:space="0"/>
              <w:right w:val="single" w:color="000000" w:sz="8" w:space="0"/>
            </w:tcBorders>
            <w:vAlign w:val="top"/>
          </w:tcPr>
          <w:p>
            <w:pPr>
              <w:pStyle w:val="6"/>
              <w:spacing w:before="9" w:beforeLines="0"/>
              <w:rPr>
                <w:sz w:val="22"/>
                <w:szCs w:val="22"/>
                <w:highlight w:val="none"/>
              </w:rPr>
            </w:pPr>
          </w:p>
          <w:p>
            <w:pPr>
              <w:pStyle w:val="6"/>
              <w:spacing w:line="280" w:lineRule="exact"/>
              <w:ind w:left="158"/>
              <w:rPr>
                <w:sz w:val="22"/>
                <w:szCs w:val="22"/>
                <w:highlight w:val="none"/>
              </w:rPr>
            </w:pPr>
            <w:r>
              <w:rPr>
                <w:sz w:val="22"/>
                <w:szCs w:val="22"/>
                <w:highlight w:val="none"/>
              </w:rPr>
              <w:t>因公出国</w:t>
            </w:r>
          </w:p>
          <w:p>
            <w:pPr>
              <w:pStyle w:val="6"/>
              <w:spacing w:line="280" w:lineRule="exact"/>
              <w:ind w:left="158"/>
              <w:rPr>
                <w:sz w:val="22"/>
                <w:szCs w:val="22"/>
                <w:highlight w:val="none"/>
              </w:rPr>
            </w:pPr>
            <w:r>
              <w:rPr>
                <w:sz w:val="22"/>
                <w:szCs w:val="22"/>
                <w:highlight w:val="none"/>
              </w:rPr>
              <w:t>（境）费</w:t>
            </w:r>
          </w:p>
        </w:tc>
        <w:tc>
          <w:tcPr>
            <w:tcW w:w="3644" w:type="dxa"/>
            <w:gridSpan w:val="3"/>
            <w:tcBorders>
              <w:top w:val="single" w:color="000000" w:sz="8" w:space="0"/>
              <w:left w:val="single" w:color="000000" w:sz="8" w:space="0"/>
              <w:bottom w:val="single" w:color="000000" w:sz="8" w:space="0"/>
              <w:right w:val="single" w:color="000000" w:sz="8" w:space="0"/>
            </w:tcBorders>
            <w:vAlign w:val="top"/>
          </w:tcPr>
          <w:p>
            <w:pPr>
              <w:pStyle w:val="6"/>
              <w:spacing w:before="124" w:beforeLines="0"/>
              <w:ind w:left="710"/>
              <w:rPr>
                <w:sz w:val="22"/>
                <w:szCs w:val="22"/>
                <w:highlight w:val="none"/>
                <w:lang w:eastAsia="zh-CN"/>
              </w:rPr>
            </w:pPr>
            <w:r>
              <w:rPr>
                <w:sz w:val="22"/>
                <w:szCs w:val="22"/>
                <w:highlight w:val="none"/>
                <w:lang w:eastAsia="zh-CN"/>
              </w:rPr>
              <w:t>公务用车购置及运行费</w:t>
            </w:r>
          </w:p>
        </w:tc>
        <w:tc>
          <w:tcPr>
            <w:tcW w:w="831" w:type="dxa"/>
            <w:vMerge w:val="restart"/>
            <w:tcBorders>
              <w:top w:val="single" w:color="000000" w:sz="8" w:space="0"/>
              <w:left w:val="single" w:color="000000" w:sz="8" w:space="0"/>
            </w:tcBorders>
            <w:vAlign w:val="top"/>
          </w:tcPr>
          <w:p>
            <w:pPr>
              <w:pStyle w:val="6"/>
              <w:rPr>
                <w:sz w:val="22"/>
                <w:szCs w:val="22"/>
                <w:highlight w:val="none"/>
                <w:lang w:eastAsia="zh-CN"/>
              </w:rPr>
            </w:pPr>
          </w:p>
          <w:p>
            <w:pPr>
              <w:pStyle w:val="6"/>
              <w:spacing w:before="144" w:beforeLines="0"/>
              <w:ind w:left="48"/>
              <w:rPr>
                <w:sz w:val="22"/>
                <w:szCs w:val="22"/>
                <w:highlight w:val="none"/>
              </w:rPr>
            </w:pPr>
            <w:r>
              <w:rPr>
                <w:sz w:val="22"/>
                <w:szCs w:val="22"/>
                <w:highlight w:val="none"/>
              </w:rPr>
              <w:t>公务接待费</w:t>
            </w:r>
          </w:p>
        </w:tc>
      </w:tr>
      <w:tr>
        <w:tblPrEx>
          <w:tblBorders>
            <w:top w:val="single" w:color="000000" w:sz="14" w:space="0"/>
            <w:left w:val="single" w:color="000000" w:sz="14" w:space="0"/>
            <w:bottom w:val="single" w:color="000000" w:sz="14" w:space="0"/>
            <w:right w:val="single" w:color="000000" w:sz="14" w:space="0"/>
            <w:insideH w:val="single" w:color="000000" w:sz="14" w:space="0"/>
            <w:insideV w:val="single" w:color="000000" w:sz="14" w:space="0"/>
          </w:tblBorders>
        </w:tblPrEx>
        <w:trPr>
          <w:trHeight w:val="615" w:hRule="exact"/>
        </w:trPr>
        <w:tc>
          <w:tcPr>
            <w:tcW w:w="714" w:type="dxa"/>
            <w:vMerge w:val="continue"/>
            <w:tcBorders>
              <w:bottom w:val="single" w:color="000000" w:sz="8" w:space="0"/>
              <w:right w:val="single" w:color="000000" w:sz="8" w:space="0"/>
            </w:tcBorders>
            <w:vAlign w:val="top"/>
          </w:tcPr>
          <w:p>
            <w:pPr>
              <w:rPr>
                <w:sz w:val="22"/>
                <w:szCs w:val="22"/>
                <w:highlight w:val="none"/>
              </w:rPr>
            </w:pPr>
          </w:p>
        </w:tc>
        <w:tc>
          <w:tcPr>
            <w:tcW w:w="1214" w:type="dxa"/>
            <w:vMerge w:val="continue"/>
            <w:tcBorders>
              <w:left w:val="single" w:color="000000" w:sz="8" w:space="0"/>
              <w:bottom w:val="single" w:color="000000" w:sz="8" w:space="0"/>
              <w:right w:val="single" w:color="000000" w:sz="8" w:space="0"/>
            </w:tcBorders>
            <w:vAlign w:val="top"/>
          </w:tcPr>
          <w:p>
            <w:pPr>
              <w:rPr>
                <w:sz w:val="22"/>
                <w:szCs w:val="22"/>
                <w:highlight w:val="none"/>
              </w:rPr>
            </w:pPr>
          </w:p>
        </w:tc>
        <w:tc>
          <w:tcPr>
            <w:tcW w:w="1214" w:type="dxa"/>
            <w:tcBorders>
              <w:top w:val="single" w:color="000000" w:sz="8" w:space="0"/>
              <w:left w:val="single" w:color="000000" w:sz="8" w:space="0"/>
              <w:bottom w:val="single" w:color="000000" w:sz="8" w:space="0"/>
              <w:right w:val="single" w:color="000000" w:sz="8" w:space="0"/>
            </w:tcBorders>
            <w:vAlign w:val="top"/>
          </w:tcPr>
          <w:p>
            <w:pPr>
              <w:pStyle w:val="6"/>
              <w:spacing w:before="134" w:beforeLines="0"/>
              <w:ind w:left="359" w:right="355"/>
              <w:jc w:val="center"/>
              <w:rPr>
                <w:sz w:val="22"/>
                <w:szCs w:val="22"/>
                <w:highlight w:val="none"/>
              </w:rPr>
            </w:pPr>
            <w:r>
              <w:rPr>
                <w:sz w:val="22"/>
                <w:szCs w:val="22"/>
                <w:highlight w:val="none"/>
              </w:rPr>
              <w:t>小计</w:t>
            </w:r>
          </w:p>
        </w:tc>
        <w:tc>
          <w:tcPr>
            <w:tcW w:w="1215" w:type="dxa"/>
            <w:tcBorders>
              <w:top w:val="single" w:color="000000" w:sz="8" w:space="0"/>
              <w:left w:val="single" w:color="000000" w:sz="8" w:space="0"/>
              <w:bottom w:val="single" w:color="000000" w:sz="8" w:space="0"/>
              <w:right w:val="single" w:color="000000" w:sz="8" w:space="0"/>
            </w:tcBorders>
            <w:vAlign w:val="top"/>
          </w:tcPr>
          <w:p>
            <w:pPr>
              <w:pStyle w:val="6"/>
              <w:spacing w:before="39" w:beforeLines="0" w:line="272" w:lineRule="exact"/>
              <w:ind w:left="268" w:right="138" w:hanging="111"/>
              <w:rPr>
                <w:sz w:val="22"/>
                <w:szCs w:val="22"/>
                <w:highlight w:val="none"/>
              </w:rPr>
            </w:pPr>
            <w:r>
              <w:rPr>
                <w:sz w:val="22"/>
                <w:szCs w:val="22"/>
                <w:highlight w:val="none"/>
              </w:rPr>
              <w:t>公务用车 购置费</w:t>
            </w:r>
          </w:p>
        </w:tc>
        <w:tc>
          <w:tcPr>
            <w:tcW w:w="1215" w:type="dxa"/>
            <w:tcBorders>
              <w:top w:val="single" w:color="000000" w:sz="8" w:space="0"/>
              <w:left w:val="single" w:color="000000" w:sz="8" w:space="0"/>
              <w:bottom w:val="single" w:color="000000" w:sz="8" w:space="0"/>
              <w:right w:val="single" w:color="000000" w:sz="8" w:space="0"/>
            </w:tcBorders>
            <w:vAlign w:val="top"/>
          </w:tcPr>
          <w:p>
            <w:pPr>
              <w:pStyle w:val="6"/>
              <w:spacing w:before="39" w:beforeLines="0" w:line="272" w:lineRule="exact"/>
              <w:ind w:left="268" w:right="138" w:hanging="111"/>
              <w:rPr>
                <w:sz w:val="22"/>
                <w:szCs w:val="22"/>
                <w:highlight w:val="none"/>
              </w:rPr>
            </w:pPr>
            <w:r>
              <w:rPr>
                <w:sz w:val="22"/>
                <w:szCs w:val="22"/>
                <w:highlight w:val="none"/>
              </w:rPr>
              <w:t>公务用车 运行费</w:t>
            </w:r>
          </w:p>
        </w:tc>
        <w:tc>
          <w:tcPr>
            <w:tcW w:w="1734" w:type="dxa"/>
            <w:vMerge w:val="continue"/>
            <w:tcBorders>
              <w:left w:val="single" w:color="000000" w:sz="8" w:space="0"/>
              <w:bottom w:val="single" w:color="000000" w:sz="8" w:space="0"/>
              <w:right w:val="single" w:color="000000" w:sz="8" w:space="0"/>
            </w:tcBorders>
            <w:vAlign w:val="top"/>
          </w:tcPr>
          <w:p>
            <w:pPr>
              <w:rPr>
                <w:sz w:val="22"/>
                <w:szCs w:val="22"/>
                <w:highlight w:val="none"/>
              </w:rPr>
            </w:pPr>
          </w:p>
        </w:tc>
        <w:tc>
          <w:tcPr>
            <w:tcW w:w="1215" w:type="dxa"/>
            <w:vMerge w:val="continue"/>
            <w:tcBorders>
              <w:left w:val="single" w:color="000000" w:sz="8" w:space="0"/>
              <w:bottom w:val="single" w:color="000000" w:sz="8" w:space="0"/>
              <w:right w:val="single" w:color="000000" w:sz="8" w:space="0"/>
            </w:tcBorders>
            <w:vAlign w:val="top"/>
          </w:tcPr>
          <w:p>
            <w:pPr>
              <w:rPr>
                <w:sz w:val="22"/>
                <w:szCs w:val="22"/>
                <w:highlight w:val="none"/>
              </w:rPr>
            </w:pPr>
          </w:p>
        </w:tc>
        <w:tc>
          <w:tcPr>
            <w:tcW w:w="1214" w:type="dxa"/>
            <w:vMerge w:val="continue"/>
            <w:tcBorders>
              <w:left w:val="single" w:color="000000" w:sz="8" w:space="0"/>
              <w:bottom w:val="single" w:color="000000" w:sz="8" w:space="0"/>
              <w:right w:val="single" w:color="000000" w:sz="8" w:space="0"/>
            </w:tcBorders>
            <w:vAlign w:val="top"/>
          </w:tcPr>
          <w:p>
            <w:pPr>
              <w:rPr>
                <w:sz w:val="22"/>
                <w:szCs w:val="22"/>
                <w:highlight w:val="none"/>
              </w:rPr>
            </w:pPr>
          </w:p>
        </w:tc>
        <w:tc>
          <w:tcPr>
            <w:tcW w:w="1214" w:type="dxa"/>
            <w:tcBorders>
              <w:top w:val="single" w:color="000000" w:sz="8" w:space="0"/>
              <w:left w:val="single" w:color="000000" w:sz="8" w:space="0"/>
              <w:bottom w:val="single" w:color="000000" w:sz="8" w:space="0"/>
              <w:right w:val="single" w:color="000000" w:sz="8" w:space="0"/>
            </w:tcBorders>
            <w:vAlign w:val="top"/>
          </w:tcPr>
          <w:p>
            <w:pPr>
              <w:pStyle w:val="6"/>
              <w:spacing w:before="134" w:beforeLines="0"/>
              <w:ind w:left="359" w:right="354"/>
              <w:jc w:val="center"/>
              <w:rPr>
                <w:sz w:val="22"/>
                <w:szCs w:val="22"/>
                <w:highlight w:val="none"/>
              </w:rPr>
            </w:pPr>
            <w:r>
              <w:rPr>
                <w:sz w:val="22"/>
                <w:szCs w:val="22"/>
                <w:highlight w:val="none"/>
              </w:rPr>
              <w:t>小计</w:t>
            </w:r>
          </w:p>
        </w:tc>
        <w:tc>
          <w:tcPr>
            <w:tcW w:w="1215" w:type="dxa"/>
            <w:tcBorders>
              <w:top w:val="single" w:color="000000" w:sz="8" w:space="0"/>
              <w:left w:val="single" w:color="000000" w:sz="8" w:space="0"/>
              <w:bottom w:val="single" w:color="000000" w:sz="8" w:space="0"/>
              <w:right w:val="single" w:color="000000" w:sz="8" w:space="0"/>
            </w:tcBorders>
            <w:vAlign w:val="top"/>
          </w:tcPr>
          <w:p>
            <w:pPr>
              <w:pStyle w:val="6"/>
              <w:spacing w:before="39" w:beforeLines="0" w:line="272" w:lineRule="exact"/>
              <w:ind w:left="268" w:right="138" w:hanging="111"/>
              <w:rPr>
                <w:sz w:val="22"/>
                <w:szCs w:val="22"/>
                <w:highlight w:val="none"/>
              </w:rPr>
            </w:pPr>
            <w:r>
              <w:rPr>
                <w:sz w:val="22"/>
                <w:szCs w:val="22"/>
                <w:highlight w:val="none"/>
              </w:rPr>
              <w:t>公务用车 购置费</w:t>
            </w:r>
          </w:p>
        </w:tc>
        <w:tc>
          <w:tcPr>
            <w:tcW w:w="1215" w:type="dxa"/>
            <w:tcBorders>
              <w:top w:val="single" w:color="000000" w:sz="8" w:space="0"/>
              <w:left w:val="single" w:color="000000" w:sz="8" w:space="0"/>
              <w:bottom w:val="single" w:color="000000" w:sz="8" w:space="0"/>
              <w:right w:val="single" w:color="000000" w:sz="8" w:space="0"/>
            </w:tcBorders>
            <w:vAlign w:val="top"/>
          </w:tcPr>
          <w:p>
            <w:pPr>
              <w:pStyle w:val="6"/>
              <w:spacing w:before="39" w:beforeLines="0" w:line="272" w:lineRule="exact"/>
              <w:ind w:left="268" w:right="138" w:hanging="111"/>
              <w:rPr>
                <w:sz w:val="22"/>
                <w:szCs w:val="22"/>
                <w:highlight w:val="none"/>
              </w:rPr>
            </w:pPr>
            <w:r>
              <w:rPr>
                <w:sz w:val="22"/>
                <w:szCs w:val="22"/>
                <w:highlight w:val="none"/>
              </w:rPr>
              <w:t>公务用车 运行费</w:t>
            </w:r>
          </w:p>
        </w:tc>
        <w:tc>
          <w:tcPr>
            <w:tcW w:w="831" w:type="dxa"/>
            <w:vMerge w:val="continue"/>
            <w:tcBorders>
              <w:left w:val="single" w:color="000000" w:sz="8" w:space="0"/>
              <w:bottom w:val="single" w:color="000000" w:sz="8" w:space="0"/>
            </w:tcBorders>
            <w:vAlign w:val="top"/>
          </w:tcPr>
          <w:p>
            <w:pPr>
              <w:rPr>
                <w:sz w:val="22"/>
                <w:szCs w:val="22"/>
                <w:highlight w:val="none"/>
              </w:rPr>
            </w:pPr>
          </w:p>
        </w:tc>
      </w:tr>
      <w:tr>
        <w:tblPrEx>
          <w:tblBorders>
            <w:top w:val="single" w:color="000000" w:sz="14" w:space="0"/>
            <w:left w:val="single" w:color="000000" w:sz="14" w:space="0"/>
            <w:bottom w:val="single" w:color="000000" w:sz="14" w:space="0"/>
            <w:right w:val="single" w:color="000000" w:sz="14" w:space="0"/>
            <w:insideH w:val="single" w:color="000000" w:sz="14" w:space="0"/>
            <w:insideV w:val="single" w:color="000000" w:sz="14" w:space="0"/>
          </w:tblBorders>
        </w:tblPrEx>
        <w:trPr>
          <w:trHeight w:val="574" w:hRule="exact"/>
        </w:trPr>
        <w:tc>
          <w:tcPr>
            <w:tcW w:w="714" w:type="dxa"/>
            <w:tcBorders>
              <w:top w:val="single" w:color="000000" w:sz="8" w:space="0"/>
              <w:bottom w:val="single" w:color="000000" w:sz="8" w:space="0"/>
              <w:right w:val="single" w:color="000000" w:sz="8" w:space="0"/>
            </w:tcBorders>
            <w:vAlign w:val="top"/>
          </w:tcPr>
          <w:p>
            <w:pPr>
              <w:pStyle w:val="6"/>
              <w:spacing w:before="115" w:beforeLines="0"/>
              <w:ind w:right="3"/>
              <w:jc w:val="center"/>
              <w:rPr>
                <w:sz w:val="22"/>
                <w:szCs w:val="22"/>
                <w:highlight w:val="none"/>
              </w:rPr>
            </w:pPr>
            <w:r>
              <w:rPr>
                <w:sz w:val="22"/>
                <w:szCs w:val="22"/>
                <w:highlight w:val="none"/>
              </w:rPr>
              <w:t>1</w:t>
            </w:r>
          </w:p>
        </w:tc>
        <w:tc>
          <w:tcPr>
            <w:tcW w:w="1214" w:type="dxa"/>
            <w:tcBorders>
              <w:top w:val="single" w:color="000000" w:sz="8" w:space="0"/>
              <w:left w:val="single" w:color="000000" w:sz="8" w:space="0"/>
              <w:bottom w:val="single" w:color="000000" w:sz="8" w:space="0"/>
              <w:right w:val="single" w:color="000000" w:sz="8" w:space="0"/>
            </w:tcBorders>
            <w:vAlign w:val="top"/>
          </w:tcPr>
          <w:p>
            <w:pPr>
              <w:pStyle w:val="6"/>
              <w:spacing w:before="115" w:beforeLines="0"/>
              <w:ind w:left="5"/>
              <w:jc w:val="center"/>
              <w:rPr>
                <w:sz w:val="22"/>
                <w:szCs w:val="22"/>
                <w:highlight w:val="none"/>
              </w:rPr>
            </w:pPr>
            <w:r>
              <w:rPr>
                <w:sz w:val="22"/>
                <w:szCs w:val="22"/>
                <w:highlight w:val="none"/>
              </w:rPr>
              <w:t>2</w:t>
            </w:r>
          </w:p>
        </w:tc>
        <w:tc>
          <w:tcPr>
            <w:tcW w:w="1214" w:type="dxa"/>
            <w:tcBorders>
              <w:top w:val="single" w:color="000000" w:sz="8" w:space="0"/>
              <w:left w:val="single" w:color="000000" w:sz="8" w:space="0"/>
              <w:bottom w:val="single" w:color="000000" w:sz="8" w:space="0"/>
              <w:right w:val="single" w:color="000000" w:sz="8" w:space="0"/>
            </w:tcBorders>
            <w:vAlign w:val="top"/>
          </w:tcPr>
          <w:p>
            <w:pPr>
              <w:pStyle w:val="6"/>
              <w:spacing w:before="115" w:beforeLines="0"/>
              <w:ind w:left="4"/>
              <w:jc w:val="center"/>
              <w:rPr>
                <w:sz w:val="22"/>
                <w:szCs w:val="22"/>
                <w:highlight w:val="none"/>
              </w:rPr>
            </w:pPr>
            <w:r>
              <w:rPr>
                <w:sz w:val="22"/>
                <w:szCs w:val="22"/>
                <w:highlight w:val="none"/>
              </w:rPr>
              <w:t>3</w:t>
            </w:r>
          </w:p>
        </w:tc>
        <w:tc>
          <w:tcPr>
            <w:tcW w:w="1215" w:type="dxa"/>
            <w:tcBorders>
              <w:top w:val="single" w:color="000000" w:sz="8" w:space="0"/>
              <w:left w:val="single" w:color="000000" w:sz="8" w:space="0"/>
              <w:bottom w:val="single" w:color="000000" w:sz="8" w:space="0"/>
              <w:right w:val="single" w:color="000000" w:sz="8" w:space="0"/>
            </w:tcBorders>
            <w:vAlign w:val="top"/>
          </w:tcPr>
          <w:p>
            <w:pPr>
              <w:pStyle w:val="6"/>
              <w:spacing w:before="115" w:beforeLines="0"/>
              <w:ind w:left="4"/>
              <w:jc w:val="center"/>
              <w:rPr>
                <w:sz w:val="22"/>
                <w:szCs w:val="22"/>
                <w:highlight w:val="none"/>
              </w:rPr>
            </w:pPr>
            <w:r>
              <w:rPr>
                <w:sz w:val="22"/>
                <w:szCs w:val="22"/>
                <w:highlight w:val="none"/>
              </w:rPr>
              <w:t>4</w:t>
            </w:r>
          </w:p>
        </w:tc>
        <w:tc>
          <w:tcPr>
            <w:tcW w:w="1215" w:type="dxa"/>
            <w:tcBorders>
              <w:top w:val="single" w:color="000000" w:sz="8" w:space="0"/>
              <w:left w:val="single" w:color="000000" w:sz="8" w:space="0"/>
              <w:bottom w:val="single" w:color="000000" w:sz="8" w:space="0"/>
              <w:right w:val="single" w:color="000000" w:sz="8" w:space="0"/>
            </w:tcBorders>
            <w:vAlign w:val="top"/>
          </w:tcPr>
          <w:p>
            <w:pPr>
              <w:pStyle w:val="6"/>
              <w:spacing w:before="115" w:beforeLines="0"/>
              <w:ind w:left="5"/>
              <w:jc w:val="center"/>
              <w:rPr>
                <w:sz w:val="22"/>
                <w:szCs w:val="22"/>
                <w:highlight w:val="none"/>
              </w:rPr>
            </w:pPr>
            <w:r>
              <w:rPr>
                <w:sz w:val="22"/>
                <w:szCs w:val="22"/>
                <w:highlight w:val="none"/>
              </w:rPr>
              <w:t>5</w:t>
            </w:r>
          </w:p>
        </w:tc>
        <w:tc>
          <w:tcPr>
            <w:tcW w:w="1734" w:type="dxa"/>
            <w:tcBorders>
              <w:top w:val="single" w:color="000000" w:sz="8" w:space="0"/>
              <w:left w:val="single" w:color="000000" w:sz="8" w:space="0"/>
              <w:bottom w:val="single" w:color="000000" w:sz="8" w:space="0"/>
              <w:right w:val="single" w:color="000000" w:sz="8" w:space="0"/>
            </w:tcBorders>
            <w:vAlign w:val="top"/>
          </w:tcPr>
          <w:p>
            <w:pPr>
              <w:pStyle w:val="6"/>
              <w:spacing w:before="115" w:beforeLines="0"/>
              <w:ind w:left="5"/>
              <w:jc w:val="center"/>
              <w:rPr>
                <w:sz w:val="22"/>
                <w:szCs w:val="22"/>
                <w:highlight w:val="none"/>
              </w:rPr>
            </w:pPr>
            <w:r>
              <w:rPr>
                <w:sz w:val="22"/>
                <w:szCs w:val="22"/>
                <w:highlight w:val="none"/>
              </w:rPr>
              <w:t>6</w:t>
            </w:r>
          </w:p>
        </w:tc>
        <w:tc>
          <w:tcPr>
            <w:tcW w:w="1215" w:type="dxa"/>
            <w:tcBorders>
              <w:top w:val="single" w:color="000000" w:sz="8" w:space="0"/>
              <w:left w:val="single" w:color="000000" w:sz="8" w:space="0"/>
              <w:bottom w:val="single" w:color="000000" w:sz="8" w:space="0"/>
              <w:right w:val="single" w:color="000000" w:sz="8" w:space="0"/>
            </w:tcBorders>
            <w:vAlign w:val="top"/>
          </w:tcPr>
          <w:p>
            <w:pPr>
              <w:pStyle w:val="6"/>
              <w:spacing w:before="115" w:beforeLines="0"/>
              <w:ind w:left="5"/>
              <w:jc w:val="center"/>
              <w:rPr>
                <w:sz w:val="22"/>
                <w:szCs w:val="22"/>
                <w:highlight w:val="none"/>
              </w:rPr>
            </w:pPr>
            <w:r>
              <w:rPr>
                <w:sz w:val="22"/>
                <w:szCs w:val="22"/>
                <w:highlight w:val="none"/>
              </w:rPr>
              <w:t>7</w:t>
            </w:r>
          </w:p>
        </w:tc>
        <w:tc>
          <w:tcPr>
            <w:tcW w:w="1214" w:type="dxa"/>
            <w:tcBorders>
              <w:top w:val="single" w:color="000000" w:sz="8" w:space="0"/>
              <w:left w:val="single" w:color="000000" w:sz="8" w:space="0"/>
              <w:bottom w:val="single" w:color="000000" w:sz="8" w:space="0"/>
              <w:right w:val="single" w:color="000000" w:sz="8" w:space="0"/>
            </w:tcBorders>
            <w:vAlign w:val="top"/>
          </w:tcPr>
          <w:p>
            <w:pPr>
              <w:pStyle w:val="6"/>
              <w:spacing w:before="115" w:beforeLines="0"/>
              <w:ind w:left="4"/>
              <w:jc w:val="center"/>
              <w:rPr>
                <w:sz w:val="22"/>
                <w:szCs w:val="22"/>
                <w:highlight w:val="none"/>
              </w:rPr>
            </w:pPr>
            <w:r>
              <w:rPr>
                <w:sz w:val="22"/>
                <w:szCs w:val="22"/>
                <w:highlight w:val="none"/>
              </w:rPr>
              <w:t>8</w:t>
            </w:r>
          </w:p>
        </w:tc>
        <w:tc>
          <w:tcPr>
            <w:tcW w:w="1214" w:type="dxa"/>
            <w:tcBorders>
              <w:top w:val="single" w:color="000000" w:sz="8" w:space="0"/>
              <w:left w:val="single" w:color="000000" w:sz="8" w:space="0"/>
              <w:bottom w:val="single" w:color="000000" w:sz="8" w:space="0"/>
              <w:right w:val="single" w:color="000000" w:sz="8" w:space="0"/>
            </w:tcBorders>
            <w:vAlign w:val="top"/>
          </w:tcPr>
          <w:p>
            <w:pPr>
              <w:pStyle w:val="6"/>
              <w:spacing w:before="115" w:beforeLines="0"/>
              <w:ind w:left="5"/>
              <w:jc w:val="center"/>
              <w:rPr>
                <w:sz w:val="22"/>
                <w:szCs w:val="22"/>
                <w:highlight w:val="none"/>
              </w:rPr>
            </w:pPr>
            <w:r>
              <w:rPr>
                <w:sz w:val="22"/>
                <w:szCs w:val="22"/>
                <w:highlight w:val="none"/>
              </w:rPr>
              <w:t>9</w:t>
            </w:r>
          </w:p>
        </w:tc>
        <w:tc>
          <w:tcPr>
            <w:tcW w:w="1215" w:type="dxa"/>
            <w:tcBorders>
              <w:top w:val="single" w:color="000000" w:sz="8" w:space="0"/>
              <w:left w:val="single" w:color="000000" w:sz="8" w:space="0"/>
              <w:bottom w:val="single" w:color="000000" w:sz="8" w:space="0"/>
              <w:right w:val="single" w:color="000000" w:sz="8" w:space="0"/>
            </w:tcBorders>
            <w:vAlign w:val="top"/>
          </w:tcPr>
          <w:p>
            <w:pPr>
              <w:pStyle w:val="6"/>
              <w:spacing w:before="115" w:beforeLines="0"/>
              <w:ind w:left="470" w:right="465"/>
              <w:jc w:val="center"/>
              <w:rPr>
                <w:sz w:val="22"/>
                <w:szCs w:val="22"/>
                <w:highlight w:val="none"/>
              </w:rPr>
            </w:pPr>
            <w:r>
              <w:rPr>
                <w:sz w:val="22"/>
                <w:szCs w:val="22"/>
                <w:highlight w:val="none"/>
              </w:rPr>
              <w:t>10</w:t>
            </w:r>
          </w:p>
        </w:tc>
        <w:tc>
          <w:tcPr>
            <w:tcW w:w="1215" w:type="dxa"/>
            <w:tcBorders>
              <w:top w:val="single" w:color="000000" w:sz="8" w:space="0"/>
              <w:left w:val="single" w:color="000000" w:sz="8" w:space="0"/>
              <w:bottom w:val="single" w:color="000000" w:sz="8" w:space="0"/>
              <w:right w:val="single" w:color="000000" w:sz="8" w:space="0"/>
            </w:tcBorders>
            <w:vAlign w:val="top"/>
          </w:tcPr>
          <w:p>
            <w:pPr>
              <w:pStyle w:val="6"/>
              <w:spacing w:before="115" w:beforeLines="0"/>
              <w:ind w:left="359" w:right="355"/>
              <w:jc w:val="center"/>
              <w:rPr>
                <w:sz w:val="22"/>
                <w:szCs w:val="22"/>
                <w:highlight w:val="none"/>
              </w:rPr>
            </w:pPr>
            <w:r>
              <w:rPr>
                <w:sz w:val="22"/>
                <w:szCs w:val="22"/>
                <w:highlight w:val="none"/>
              </w:rPr>
              <w:t>11</w:t>
            </w:r>
          </w:p>
        </w:tc>
        <w:tc>
          <w:tcPr>
            <w:tcW w:w="831" w:type="dxa"/>
            <w:tcBorders>
              <w:top w:val="single" w:color="000000" w:sz="8" w:space="0"/>
              <w:left w:val="single" w:color="000000" w:sz="8" w:space="0"/>
              <w:bottom w:val="single" w:color="000000" w:sz="8" w:space="0"/>
            </w:tcBorders>
            <w:vAlign w:val="top"/>
          </w:tcPr>
          <w:p>
            <w:pPr>
              <w:pStyle w:val="6"/>
              <w:spacing w:before="115" w:beforeLines="0"/>
              <w:ind w:left="469" w:right="455"/>
              <w:jc w:val="center"/>
              <w:rPr>
                <w:sz w:val="22"/>
                <w:szCs w:val="22"/>
                <w:highlight w:val="none"/>
              </w:rPr>
            </w:pPr>
            <w:r>
              <w:rPr>
                <w:sz w:val="22"/>
                <w:szCs w:val="22"/>
                <w:highlight w:val="none"/>
              </w:rPr>
              <w:t>12</w:t>
            </w:r>
          </w:p>
        </w:tc>
      </w:tr>
      <w:tr>
        <w:tblPrEx>
          <w:tblBorders>
            <w:top w:val="single" w:color="000000" w:sz="14" w:space="0"/>
            <w:left w:val="single" w:color="000000" w:sz="14" w:space="0"/>
            <w:bottom w:val="single" w:color="000000" w:sz="14" w:space="0"/>
            <w:right w:val="single" w:color="000000" w:sz="14" w:space="0"/>
            <w:insideH w:val="single" w:color="000000" w:sz="14" w:space="0"/>
            <w:insideV w:val="single" w:color="000000" w:sz="14" w:space="0"/>
          </w:tblBorders>
          <w:tblCellMar>
            <w:top w:w="0" w:type="dxa"/>
            <w:left w:w="0" w:type="dxa"/>
            <w:bottom w:w="0" w:type="dxa"/>
            <w:right w:w="0" w:type="dxa"/>
          </w:tblCellMar>
        </w:tblPrEx>
        <w:trPr>
          <w:trHeight w:val="878" w:hRule="exact"/>
        </w:trPr>
        <w:tc>
          <w:tcPr>
            <w:tcW w:w="714" w:type="dxa"/>
            <w:tcBorders>
              <w:top w:val="single" w:color="000000" w:sz="8" w:space="0"/>
              <w:right w:val="single" w:color="000000" w:sz="8" w:space="0"/>
            </w:tcBorders>
            <w:vAlign w:val="top"/>
          </w:tcPr>
          <w:p>
            <w:pPr>
              <w:rPr>
                <w:rFonts w:hint="eastAsia" w:eastAsia="宋体"/>
                <w:sz w:val="22"/>
                <w:szCs w:val="22"/>
                <w:highlight w:val="none"/>
                <w:lang w:val="en-US" w:eastAsia="zh-CN"/>
              </w:rPr>
            </w:pPr>
            <w:r>
              <w:rPr>
                <w:rFonts w:hint="eastAsia" w:eastAsia="宋体"/>
                <w:sz w:val="22"/>
                <w:szCs w:val="22"/>
                <w:highlight w:val="none"/>
                <w:lang w:val="en-US" w:eastAsia="zh-CN"/>
              </w:rPr>
              <w:t>3.9</w:t>
            </w:r>
          </w:p>
        </w:tc>
        <w:tc>
          <w:tcPr>
            <w:tcW w:w="1214" w:type="dxa"/>
            <w:tcBorders>
              <w:top w:val="single" w:color="000000" w:sz="8" w:space="0"/>
              <w:left w:val="single" w:color="000000" w:sz="8" w:space="0"/>
              <w:right w:val="single" w:color="000000" w:sz="8" w:space="0"/>
            </w:tcBorders>
            <w:vAlign w:val="top"/>
          </w:tcPr>
          <w:p>
            <w:pPr>
              <w:rPr>
                <w:rFonts w:hint="eastAsia" w:eastAsia="宋体"/>
                <w:sz w:val="22"/>
                <w:szCs w:val="22"/>
                <w:highlight w:val="none"/>
                <w:lang w:val="en-US" w:eastAsia="zh-CN"/>
              </w:rPr>
            </w:pPr>
            <w:r>
              <w:rPr>
                <w:rFonts w:hint="eastAsia"/>
                <w:sz w:val="22"/>
                <w:szCs w:val="22"/>
                <w:highlight w:val="none"/>
                <w:lang w:val="en-US" w:eastAsia="zh-CN"/>
              </w:rPr>
              <w:t>0</w:t>
            </w:r>
          </w:p>
        </w:tc>
        <w:tc>
          <w:tcPr>
            <w:tcW w:w="1214" w:type="dxa"/>
            <w:tcBorders>
              <w:top w:val="single" w:color="000000" w:sz="8" w:space="0"/>
              <w:left w:val="single" w:color="000000" w:sz="8" w:space="0"/>
              <w:right w:val="single" w:color="000000" w:sz="8" w:space="0"/>
            </w:tcBorders>
            <w:vAlign w:val="top"/>
          </w:tcPr>
          <w:p>
            <w:pPr>
              <w:rPr>
                <w:rFonts w:hint="eastAsia" w:eastAsia="宋体"/>
                <w:sz w:val="22"/>
                <w:szCs w:val="22"/>
                <w:highlight w:val="none"/>
                <w:lang w:val="en-US" w:eastAsia="zh-CN"/>
              </w:rPr>
            </w:pPr>
            <w:r>
              <w:rPr>
                <w:rFonts w:hint="eastAsia"/>
                <w:sz w:val="22"/>
                <w:szCs w:val="22"/>
                <w:highlight w:val="none"/>
                <w:lang w:val="en-US" w:eastAsia="zh-CN"/>
              </w:rPr>
              <w:t>3.9</w:t>
            </w:r>
          </w:p>
        </w:tc>
        <w:tc>
          <w:tcPr>
            <w:tcW w:w="1215" w:type="dxa"/>
            <w:tcBorders>
              <w:top w:val="single" w:color="000000" w:sz="8" w:space="0"/>
              <w:left w:val="single" w:color="000000" w:sz="8" w:space="0"/>
              <w:right w:val="single" w:color="000000" w:sz="8" w:space="0"/>
            </w:tcBorders>
            <w:vAlign w:val="top"/>
          </w:tcPr>
          <w:p>
            <w:pPr>
              <w:rPr>
                <w:rFonts w:hint="eastAsia" w:eastAsia="宋体"/>
                <w:sz w:val="22"/>
                <w:szCs w:val="22"/>
                <w:highlight w:val="none"/>
                <w:lang w:val="en-US" w:eastAsia="zh-CN"/>
              </w:rPr>
            </w:pPr>
            <w:r>
              <w:rPr>
                <w:rFonts w:hint="eastAsia"/>
                <w:sz w:val="22"/>
                <w:szCs w:val="22"/>
                <w:highlight w:val="none"/>
                <w:lang w:val="en-US" w:eastAsia="zh-CN"/>
              </w:rPr>
              <w:t>0</w:t>
            </w:r>
          </w:p>
        </w:tc>
        <w:tc>
          <w:tcPr>
            <w:tcW w:w="1215" w:type="dxa"/>
            <w:tcBorders>
              <w:top w:val="single" w:color="000000" w:sz="8" w:space="0"/>
              <w:left w:val="single" w:color="000000" w:sz="8" w:space="0"/>
              <w:right w:val="single" w:color="000000" w:sz="8" w:space="0"/>
            </w:tcBorders>
            <w:vAlign w:val="top"/>
          </w:tcPr>
          <w:p>
            <w:pPr>
              <w:rPr>
                <w:rFonts w:hint="eastAsia" w:eastAsia="宋体"/>
                <w:sz w:val="22"/>
                <w:szCs w:val="22"/>
                <w:highlight w:val="none"/>
                <w:lang w:val="en-US" w:eastAsia="zh-CN"/>
              </w:rPr>
            </w:pPr>
            <w:r>
              <w:rPr>
                <w:rFonts w:hint="eastAsia"/>
                <w:sz w:val="22"/>
                <w:szCs w:val="22"/>
                <w:highlight w:val="none"/>
                <w:lang w:val="en-US" w:eastAsia="zh-CN"/>
              </w:rPr>
              <w:t>3.9</w:t>
            </w:r>
          </w:p>
        </w:tc>
        <w:tc>
          <w:tcPr>
            <w:tcW w:w="1734" w:type="dxa"/>
            <w:tcBorders>
              <w:top w:val="single" w:color="000000" w:sz="8" w:space="0"/>
              <w:left w:val="single" w:color="000000" w:sz="8" w:space="0"/>
              <w:right w:val="single" w:color="000000" w:sz="8" w:space="0"/>
            </w:tcBorders>
            <w:vAlign w:val="top"/>
          </w:tcPr>
          <w:p>
            <w:pPr>
              <w:rPr>
                <w:rFonts w:hint="eastAsia" w:eastAsia="宋体"/>
                <w:sz w:val="22"/>
                <w:szCs w:val="22"/>
                <w:highlight w:val="none"/>
                <w:lang w:val="en-US" w:eastAsia="zh-CN"/>
              </w:rPr>
            </w:pPr>
            <w:r>
              <w:rPr>
                <w:rFonts w:hint="eastAsia"/>
                <w:sz w:val="22"/>
                <w:szCs w:val="22"/>
                <w:highlight w:val="none"/>
                <w:lang w:val="en-US" w:eastAsia="zh-CN"/>
              </w:rPr>
              <w:t>0</w:t>
            </w:r>
          </w:p>
        </w:tc>
        <w:tc>
          <w:tcPr>
            <w:tcW w:w="1215" w:type="dxa"/>
            <w:tcBorders>
              <w:top w:val="single" w:color="000000" w:sz="8" w:space="0"/>
              <w:left w:val="single" w:color="000000" w:sz="8" w:space="0"/>
              <w:right w:val="single" w:color="000000" w:sz="8" w:space="0"/>
            </w:tcBorders>
            <w:vAlign w:val="top"/>
          </w:tcPr>
          <w:p>
            <w:pPr>
              <w:rPr>
                <w:rFonts w:hint="eastAsia" w:eastAsia="宋体"/>
                <w:sz w:val="22"/>
                <w:szCs w:val="22"/>
                <w:highlight w:val="none"/>
                <w:lang w:val="en-US" w:eastAsia="zh-CN"/>
              </w:rPr>
            </w:pPr>
            <w:r>
              <w:rPr>
                <w:rFonts w:hint="eastAsia"/>
                <w:sz w:val="22"/>
                <w:szCs w:val="22"/>
                <w:highlight w:val="none"/>
                <w:lang w:val="en-US" w:eastAsia="zh-CN"/>
              </w:rPr>
              <w:t>9.18</w:t>
            </w:r>
          </w:p>
        </w:tc>
        <w:tc>
          <w:tcPr>
            <w:tcW w:w="1214" w:type="dxa"/>
            <w:tcBorders>
              <w:top w:val="single" w:color="000000" w:sz="8" w:space="0"/>
              <w:left w:val="single" w:color="000000" w:sz="8" w:space="0"/>
              <w:right w:val="single" w:color="000000" w:sz="8" w:space="0"/>
            </w:tcBorders>
            <w:vAlign w:val="top"/>
          </w:tcPr>
          <w:p>
            <w:pPr>
              <w:rPr>
                <w:rFonts w:hint="eastAsia" w:eastAsia="宋体"/>
                <w:sz w:val="22"/>
                <w:szCs w:val="22"/>
                <w:highlight w:val="none"/>
                <w:lang w:val="en-US" w:eastAsia="zh-CN"/>
              </w:rPr>
            </w:pPr>
            <w:r>
              <w:rPr>
                <w:rFonts w:hint="eastAsia"/>
                <w:sz w:val="22"/>
                <w:szCs w:val="22"/>
                <w:highlight w:val="none"/>
                <w:lang w:val="en-US" w:eastAsia="zh-CN"/>
              </w:rPr>
              <w:t>5.32</w:t>
            </w:r>
          </w:p>
        </w:tc>
        <w:tc>
          <w:tcPr>
            <w:tcW w:w="1214" w:type="dxa"/>
            <w:tcBorders>
              <w:top w:val="single" w:color="000000" w:sz="8" w:space="0"/>
              <w:left w:val="single" w:color="000000" w:sz="8" w:space="0"/>
              <w:right w:val="single" w:color="000000" w:sz="8" w:space="0"/>
            </w:tcBorders>
            <w:vAlign w:val="top"/>
          </w:tcPr>
          <w:p>
            <w:pPr>
              <w:rPr>
                <w:rFonts w:hint="eastAsia" w:eastAsia="宋体"/>
                <w:sz w:val="22"/>
                <w:szCs w:val="22"/>
                <w:highlight w:val="none"/>
                <w:lang w:val="en-US" w:eastAsia="zh-CN"/>
              </w:rPr>
            </w:pPr>
            <w:r>
              <w:rPr>
                <w:rFonts w:hint="eastAsia"/>
                <w:sz w:val="22"/>
                <w:szCs w:val="22"/>
                <w:highlight w:val="none"/>
                <w:lang w:val="en-US" w:eastAsia="zh-CN"/>
              </w:rPr>
              <w:t>3.86</w:t>
            </w:r>
          </w:p>
        </w:tc>
        <w:tc>
          <w:tcPr>
            <w:tcW w:w="1215" w:type="dxa"/>
            <w:tcBorders>
              <w:top w:val="single" w:color="000000" w:sz="8" w:space="0"/>
              <w:left w:val="single" w:color="000000" w:sz="8" w:space="0"/>
              <w:right w:val="single" w:color="000000" w:sz="8" w:space="0"/>
            </w:tcBorders>
            <w:vAlign w:val="top"/>
          </w:tcPr>
          <w:p>
            <w:pPr>
              <w:rPr>
                <w:rFonts w:hint="eastAsia" w:eastAsia="宋体"/>
                <w:sz w:val="22"/>
                <w:szCs w:val="22"/>
                <w:highlight w:val="none"/>
                <w:lang w:val="en-US" w:eastAsia="zh-CN"/>
              </w:rPr>
            </w:pPr>
            <w:r>
              <w:rPr>
                <w:rFonts w:hint="eastAsia"/>
                <w:sz w:val="22"/>
                <w:szCs w:val="22"/>
                <w:highlight w:val="none"/>
                <w:lang w:val="en-US" w:eastAsia="zh-CN"/>
              </w:rPr>
              <w:t>0</w:t>
            </w:r>
          </w:p>
        </w:tc>
        <w:tc>
          <w:tcPr>
            <w:tcW w:w="1215" w:type="dxa"/>
            <w:tcBorders>
              <w:top w:val="single" w:color="000000" w:sz="8" w:space="0"/>
              <w:left w:val="single" w:color="000000" w:sz="8" w:space="0"/>
              <w:right w:val="single" w:color="000000" w:sz="8" w:space="0"/>
            </w:tcBorders>
            <w:vAlign w:val="top"/>
          </w:tcPr>
          <w:p>
            <w:pPr>
              <w:rPr>
                <w:rFonts w:hint="eastAsia" w:eastAsia="宋体"/>
                <w:sz w:val="22"/>
                <w:szCs w:val="22"/>
                <w:highlight w:val="none"/>
                <w:lang w:val="en-US" w:eastAsia="zh-CN"/>
              </w:rPr>
            </w:pPr>
            <w:r>
              <w:rPr>
                <w:rFonts w:hint="eastAsia"/>
                <w:sz w:val="22"/>
                <w:szCs w:val="22"/>
                <w:highlight w:val="none"/>
                <w:lang w:val="en-US" w:eastAsia="zh-CN"/>
              </w:rPr>
              <w:t>3.86</w:t>
            </w:r>
          </w:p>
        </w:tc>
        <w:tc>
          <w:tcPr>
            <w:tcW w:w="831" w:type="dxa"/>
            <w:tcBorders>
              <w:top w:val="single" w:color="000000" w:sz="8" w:space="0"/>
              <w:left w:val="single" w:color="000000" w:sz="8" w:space="0"/>
            </w:tcBorders>
            <w:vAlign w:val="top"/>
          </w:tcPr>
          <w:p>
            <w:pPr>
              <w:rPr>
                <w:rFonts w:hint="eastAsia" w:eastAsia="宋体"/>
                <w:sz w:val="22"/>
                <w:szCs w:val="22"/>
                <w:highlight w:val="none"/>
                <w:lang w:val="en-US" w:eastAsia="zh-CN"/>
              </w:rPr>
            </w:pPr>
            <w:r>
              <w:rPr>
                <w:rFonts w:hint="eastAsia"/>
                <w:sz w:val="22"/>
                <w:szCs w:val="22"/>
                <w:highlight w:val="none"/>
                <w:lang w:val="en-US" w:eastAsia="zh-CN"/>
              </w:rPr>
              <w:t>0</w:t>
            </w:r>
          </w:p>
        </w:tc>
      </w:tr>
    </w:tbl>
    <w:p>
      <w:pPr>
        <w:pStyle w:val="2"/>
        <w:spacing w:before="4" w:beforeLines="0"/>
        <w:ind w:left="0"/>
        <w:rPr>
          <w:sz w:val="6"/>
          <w:highlight w:val="none"/>
        </w:rPr>
      </w:pPr>
    </w:p>
    <w:p>
      <w:pPr>
        <w:ind w:right="420" w:rightChars="200" w:firstLine="440" w:firstLineChars="200"/>
        <w:rPr>
          <w:rFonts w:hint="eastAsia" w:ascii="黑体" w:hAnsi="黑体" w:eastAsia="黑体" w:cs="宋体"/>
          <w:sz w:val="22"/>
          <w:szCs w:val="22"/>
        </w:rPr>
      </w:pPr>
      <w:r>
        <w:rPr>
          <w:sz w:val="22"/>
          <w:szCs w:val="22"/>
          <w:highlight w:val="none"/>
          <w:lang w:eastAsia="zh-CN"/>
        </w:rPr>
        <w:t>注：</w:t>
      </w:r>
      <w:r>
        <w:rPr>
          <w:rFonts w:hint="eastAsia"/>
          <w:sz w:val="22"/>
          <w:szCs w:val="22"/>
          <w:highlight w:val="none"/>
          <w:lang w:eastAsia="zh-CN"/>
        </w:rPr>
        <w:t>本表反映部门本年度“三公”经费支出预决算情况。其中，预算数为“三公”经费年初预算数，决算数是包括当年一般公共预算财政拨款和以前年度结转资金安排的实际支出。</w:t>
      </w:r>
    </w:p>
    <w:p>
      <w:pPr>
        <w:rPr>
          <w:rFonts w:hint="eastAsia" w:ascii="黑体" w:hAnsi="黑体" w:eastAsia="黑体" w:cs="宋体"/>
          <w:sz w:val="32"/>
          <w:szCs w:val="32"/>
        </w:rPr>
      </w:pPr>
    </w:p>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54F87DA7"/>
    <w:rsid w:val="3120471E"/>
    <w:rsid w:val="54F87DA7"/>
    <w:rsid w:val="76E47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ind w:left="120"/>
    </w:pPr>
    <w:rPr>
      <w:sz w:val="30"/>
      <w:szCs w:val="30"/>
    </w:rPr>
  </w:style>
  <w:style w:type="paragraph" w:customStyle="1" w:styleId="5">
    <w:name w:val="Heading 3"/>
    <w:basedOn w:val="1"/>
    <w:qFormat/>
    <w:uiPriority w:val="0"/>
    <w:pPr>
      <w:ind w:left="119"/>
      <w:outlineLvl w:val="3"/>
    </w:pPr>
    <w:rPr>
      <w:sz w:val="32"/>
      <w:szCs w:val="32"/>
    </w:rPr>
  </w:style>
  <w:style w:type="paragraph" w:customStyle="1" w:styleId="6">
    <w:name w:val="Table Paragraph"/>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2019-12-06T07:24:00Z</dcterms:created>
  <dc:creator>admin</dc:creator>
  <cp:lastModifiedBy>-Jus</cp:lastModifiedBy>
  <dcterms:modified xsi:type="dcterms:W3CDTF">2022-08-05T02:29:37Z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E850BEB1E93144D1811FF6D406EFE716</vt:lpwstr>
  </property>
</Properties>
</file>