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附件3：</w:t>
      </w:r>
    </w:p>
    <w:p>
      <w:pPr>
        <w:jc w:val="center"/>
        <w:rPr>
          <w:rFonts w:hint="eastAsia" w:ascii="方正小标宋简体" w:hAnsi="方正小标宋简体" w:eastAsia="方正小标宋简体" w:cs="方正小标宋简体"/>
          <w:sz w:val="36"/>
          <w:szCs w:val="36"/>
          <w:lang w:eastAsia="zh-CN"/>
        </w:rPr>
      </w:pP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sz w:val="36"/>
          <w:szCs w:val="36"/>
        </w:rPr>
      </w:pPr>
      <w:r>
        <w:rPr>
          <w:rFonts w:hint="eastAsia" w:ascii="方正小标宋简体" w:hAnsi="方正小标宋简体" w:eastAsia="方正小标宋简体" w:cs="方正小标宋简体"/>
          <w:sz w:val="36"/>
          <w:szCs w:val="36"/>
          <w:lang w:eastAsia="zh-CN"/>
        </w:rPr>
        <w:t>福田</w:t>
      </w:r>
      <w:r>
        <w:rPr>
          <w:rFonts w:hint="eastAsia" w:ascii="方正小标宋简体" w:hAnsi="方正小标宋简体" w:eastAsia="方正小标宋简体" w:cs="方正小标宋简体"/>
          <w:sz w:val="36"/>
          <w:szCs w:val="36"/>
        </w:rPr>
        <w:t>区电影放映单位守法经营和安全生产承诺书</w:t>
      </w:r>
    </w:p>
    <w:p>
      <w:pPr>
        <w:ind w:firstLine="880" w:firstLineChars="200"/>
        <w:rPr>
          <w:rFonts w:hint="eastAsia" w:ascii="宋体" w:hAnsi="宋体"/>
          <w:sz w:val="44"/>
          <w:szCs w:val="44"/>
        </w:rPr>
      </w:pP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宋体" w:eastAsia="仿宋_GB2312"/>
          <w:sz w:val="32"/>
          <w:szCs w:val="32"/>
        </w:rPr>
      </w:pPr>
      <w:r>
        <w:rPr>
          <w:rFonts w:hint="eastAsia" w:ascii="仿宋_GB2312" w:hAnsi="宋体" w:eastAsia="仿宋_GB2312"/>
          <w:sz w:val="32"/>
          <w:szCs w:val="32"/>
        </w:rPr>
        <w:t>为加强电影放映单位的监管，规范电影放映行为，净化市场环境，保护知识产权，保障安全放映，引导文明观影，促进行业健康发展，特签订此告知承诺书。本单位已知悉并做出以下承诺：</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宋体" w:eastAsia="仿宋_GB2312"/>
          <w:sz w:val="32"/>
          <w:szCs w:val="32"/>
        </w:rPr>
      </w:pPr>
      <w:r>
        <w:rPr>
          <w:rFonts w:hint="eastAsia" w:ascii="仿宋_GB2312" w:hAnsi="宋体" w:eastAsia="仿宋_GB2312"/>
          <w:sz w:val="32"/>
          <w:szCs w:val="32"/>
        </w:rPr>
        <w:t>一、遵守《电影管理条例》，不放映未取得《公映许可证》的影片。</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宋体" w:eastAsia="仿宋_GB2312"/>
          <w:sz w:val="32"/>
          <w:szCs w:val="32"/>
        </w:rPr>
      </w:pPr>
      <w:r>
        <w:rPr>
          <w:rFonts w:hint="eastAsia" w:ascii="仿宋_GB2312" w:hAnsi="宋体" w:eastAsia="仿宋_GB2312"/>
          <w:sz w:val="32"/>
          <w:szCs w:val="32"/>
        </w:rPr>
        <w:t>二、遵守版权管理的相关法律法规，不放映未经授权放映的电影。</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宋体" w:eastAsia="仿宋_GB2312"/>
          <w:sz w:val="32"/>
          <w:szCs w:val="32"/>
        </w:rPr>
      </w:pPr>
      <w:r>
        <w:rPr>
          <w:rFonts w:hint="eastAsia" w:ascii="仿宋_GB2312" w:hAnsi="宋体" w:eastAsia="仿宋_GB2312"/>
          <w:sz w:val="32"/>
          <w:szCs w:val="32"/>
        </w:rPr>
        <w:t>三、变更《电影放映许可证》相关登记事项的，及时向电影行政管理部门和市场监督管理部门办理变更手续。</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宋体" w:eastAsia="仿宋_GB2312"/>
          <w:sz w:val="32"/>
          <w:szCs w:val="32"/>
        </w:rPr>
      </w:pPr>
      <w:r>
        <w:rPr>
          <w:rFonts w:hint="eastAsia" w:ascii="仿宋_GB2312" w:hAnsi="宋体" w:eastAsia="仿宋_GB2312"/>
          <w:sz w:val="32"/>
          <w:szCs w:val="32"/>
        </w:rPr>
        <w:t>四、合理安排由境内法人、其他组织所摄制电影的放映场次和时段，放映的时长不得低于年放映电影时长总和的三分之二。</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宋体" w:eastAsia="仿宋_GB2312"/>
          <w:sz w:val="32"/>
          <w:szCs w:val="32"/>
        </w:rPr>
      </w:pPr>
      <w:r>
        <w:rPr>
          <w:rFonts w:hint="eastAsia" w:ascii="仿宋_GB2312" w:hAnsi="宋体" w:eastAsia="仿宋_GB2312"/>
          <w:sz w:val="32"/>
          <w:szCs w:val="32"/>
        </w:rPr>
        <w:t>五、遵守广告放映规定，在向观众明示的电影开始放映时间之后至电影放映结束前，不得放映广告。</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宋体" w:eastAsia="仿宋_GB2312"/>
          <w:sz w:val="32"/>
          <w:szCs w:val="32"/>
        </w:rPr>
      </w:pPr>
      <w:r>
        <w:rPr>
          <w:rFonts w:hint="eastAsia" w:ascii="仿宋_GB2312" w:hAnsi="宋体" w:eastAsia="仿宋_GB2312"/>
          <w:sz w:val="32"/>
          <w:szCs w:val="32"/>
        </w:rPr>
        <w:t>六、遵守影院票务管理规定。按照《中华人民共和国电影产业促进法》关于电影放映单位票务管理的相关规定，如实统计电影销售收入，提供真实准确的统计数据，不得采取制造虚假交易、虚报瞒报销售收入等不正当手段，欺骗、误导观众，扰乱电影市场秩序。</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宋体" w:eastAsia="仿宋_GB2312"/>
          <w:sz w:val="32"/>
          <w:szCs w:val="32"/>
        </w:rPr>
      </w:pPr>
      <w:r>
        <w:rPr>
          <w:rFonts w:hint="eastAsia" w:ascii="仿宋_GB2312" w:hAnsi="宋体" w:eastAsia="仿宋_GB2312"/>
          <w:sz w:val="32"/>
          <w:szCs w:val="32"/>
        </w:rPr>
        <w:t>七、引导文明观影。遵守治安、消防、公共场所卫生等法律、行政法规，维护放映场所的公共秩序和环境卫生，保障观众的安全与健康，通过张贴公益广告宣传品和播放文明宣传短片的形式，引导市民文明观影。</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宋体" w:eastAsia="仿宋_GB2312"/>
          <w:sz w:val="32"/>
          <w:szCs w:val="32"/>
        </w:rPr>
      </w:pPr>
      <w:r>
        <w:rPr>
          <w:rFonts w:hint="eastAsia" w:ascii="仿宋_GB2312" w:hAnsi="宋体" w:eastAsia="仿宋_GB2312"/>
          <w:sz w:val="32"/>
          <w:szCs w:val="32"/>
        </w:rPr>
        <w:t>八、安全生产、安全放映。建立健全安全放映制度，明确安全责任人，自觉遵守行业安全生产标准和操作规范，遵守消防安全管理规定，保持消防通道通畅，定期检查消防设施状态，掌握一定的安全生产知识和隐患辨识能力，发现隐患及时整改消除，无法及时消除的应及时上报消防安全部门和电影行政管理部门。</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宋体" w:eastAsia="仿宋_GB2312"/>
          <w:sz w:val="32"/>
          <w:szCs w:val="32"/>
        </w:rPr>
      </w:pPr>
      <w:r>
        <w:rPr>
          <w:rFonts w:hint="eastAsia" w:ascii="仿宋_GB2312" w:hAnsi="宋体" w:eastAsia="仿宋_GB2312"/>
          <w:sz w:val="32"/>
          <w:szCs w:val="32"/>
        </w:rPr>
        <w:t>本告知承诺书一式两份，作为电影行政管理部门告知电影放映单位相关管理规定并签订承诺的文本，各持一份，自签订之日起生效。</w:t>
      </w:r>
    </w:p>
    <w:p>
      <w:pPr>
        <w:keepNext w:val="0"/>
        <w:keepLines w:val="0"/>
        <w:pageBreakBefore w:val="0"/>
        <w:widowControl w:val="0"/>
        <w:kinsoku/>
        <w:wordWrap/>
        <w:overflowPunct/>
        <w:topLinePunct w:val="0"/>
        <w:autoSpaceDE/>
        <w:autoSpaceDN/>
        <w:bidi w:val="0"/>
        <w:adjustRightInd/>
        <w:snapToGrid/>
        <w:spacing w:line="579" w:lineRule="exact"/>
        <w:ind w:firstLine="752" w:firstLineChars="235"/>
        <w:textAlignment w:val="auto"/>
        <w:rPr>
          <w:rFonts w:hint="eastAsia" w:ascii="仿宋_GB2312" w:hAnsi="宋体"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79" w:lineRule="exact"/>
        <w:ind w:firstLine="752" w:firstLineChars="235"/>
        <w:textAlignment w:val="auto"/>
        <w:rPr>
          <w:rFonts w:hint="eastAsia" w:ascii="仿宋_GB2312" w:hAnsi="宋体"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79" w:lineRule="exact"/>
        <w:ind w:firstLine="752" w:firstLineChars="235"/>
        <w:textAlignment w:val="auto"/>
        <w:rPr>
          <w:rFonts w:hint="eastAsia" w:ascii="仿宋_GB2312" w:hAnsi="宋体"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79" w:lineRule="exact"/>
        <w:ind w:firstLine="752" w:firstLineChars="235"/>
        <w:textAlignment w:val="auto"/>
        <w:rPr>
          <w:rFonts w:hint="eastAsia" w:ascii="仿宋_GB2312" w:hAnsi="宋体"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宋体" w:eastAsia="仿宋_GB2312"/>
          <w:sz w:val="32"/>
          <w:szCs w:val="32"/>
        </w:rPr>
      </w:pPr>
      <w:r>
        <w:rPr>
          <w:rFonts w:hint="eastAsia" w:ascii="仿宋_GB2312" w:hAnsi="宋体" w:eastAsia="仿宋_GB2312"/>
          <w:sz w:val="32"/>
          <w:szCs w:val="32"/>
        </w:rPr>
        <w:t>深圳市</w:t>
      </w:r>
      <w:r>
        <w:rPr>
          <w:rFonts w:hint="eastAsia" w:ascii="仿宋_GB2312" w:hAnsi="宋体" w:eastAsia="仿宋_GB2312"/>
          <w:sz w:val="32"/>
          <w:szCs w:val="32"/>
          <w:lang w:eastAsia="zh-CN"/>
        </w:rPr>
        <w:t>福田</w:t>
      </w:r>
      <w:r>
        <w:rPr>
          <w:rFonts w:hint="eastAsia" w:ascii="仿宋_GB2312" w:hAnsi="宋体" w:eastAsia="仿宋_GB2312"/>
          <w:sz w:val="32"/>
          <w:szCs w:val="32"/>
        </w:rPr>
        <w:t>区新闻出版局（盖章）       承诺单位（盖章）</w:t>
      </w:r>
    </w:p>
    <w:p>
      <w:pPr>
        <w:keepNext w:val="0"/>
        <w:keepLines w:val="0"/>
        <w:pageBreakBefore w:val="0"/>
        <w:widowControl w:val="0"/>
        <w:kinsoku/>
        <w:wordWrap/>
        <w:overflowPunct/>
        <w:topLinePunct w:val="0"/>
        <w:autoSpaceDE/>
        <w:autoSpaceDN/>
        <w:bidi w:val="0"/>
        <w:adjustRightInd/>
        <w:snapToGrid/>
        <w:spacing w:line="579" w:lineRule="exact"/>
        <w:ind w:firstLine="4000" w:firstLineChars="1250"/>
        <w:textAlignment w:val="auto"/>
        <w:rPr>
          <w:rFonts w:hint="eastAsia" w:ascii="仿宋_GB2312" w:hAnsi="宋体" w:eastAsia="仿宋_GB2312"/>
          <w:sz w:val="32"/>
          <w:szCs w:val="32"/>
          <w:u w:val="single"/>
        </w:rPr>
      </w:pPr>
      <w:r>
        <w:rPr>
          <w:rFonts w:hint="eastAsia" w:ascii="仿宋_GB2312" w:hAnsi="宋体" w:eastAsia="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579" w:lineRule="exact"/>
        <w:ind w:firstLine="1600" w:firstLineChars="500"/>
        <w:textAlignment w:val="auto"/>
        <w:rPr>
          <w:rFonts w:hint="eastAsia" w:ascii="宋体" w:hAnsi="宋体"/>
          <w:sz w:val="32"/>
          <w:szCs w:val="32"/>
        </w:rPr>
      </w:pPr>
      <w:r>
        <w:rPr>
          <w:rFonts w:hint="eastAsia" w:ascii="仿宋_GB2312" w:hAnsi="宋体" w:eastAsia="仿宋_GB2312"/>
          <w:sz w:val="32"/>
          <w:szCs w:val="32"/>
        </w:rPr>
        <w:t>年   月   日                   年   月   日</w:t>
      </w:r>
    </w:p>
    <w:p>
      <w:pPr>
        <w:keepNext w:val="0"/>
        <w:keepLines w:val="0"/>
        <w:pageBreakBefore w:val="0"/>
        <w:widowControl w:val="0"/>
        <w:kinsoku/>
        <w:wordWrap/>
        <w:overflowPunct/>
        <w:topLinePunct w:val="0"/>
        <w:autoSpaceDE/>
        <w:autoSpaceDN/>
        <w:bidi w:val="0"/>
        <w:adjustRightInd/>
        <w:snapToGrid/>
        <w:spacing w:line="579" w:lineRule="exact"/>
        <w:ind w:right="0" w:right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79" w:lineRule="exact"/>
        <w:ind w:right="0" w:rightChars="0"/>
        <w:jc w:val="both"/>
        <w:textAlignment w:val="auto"/>
        <w:outlineLvl w:val="9"/>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9" w:lineRule="exact"/>
        <w:ind w:right="0" w:rightChars="0"/>
        <w:jc w:val="both"/>
        <w:textAlignment w:val="auto"/>
        <w:outlineLvl w:val="9"/>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9" w:lineRule="exact"/>
        <w:ind w:right="0" w:rightChars="0"/>
        <w:jc w:val="both"/>
        <w:textAlignment w:val="auto"/>
        <w:outlineLvl w:val="9"/>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9" w:lineRule="exact"/>
        <w:ind w:right="0" w:rightChars="0"/>
        <w:jc w:val="both"/>
        <w:textAlignment w:val="auto"/>
        <w:outlineLvl w:val="9"/>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9" w:lineRule="exact"/>
        <w:ind w:right="0" w:rightChars="0"/>
        <w:jc w:val="both"/>
        <w:textAlignment w:val="auto"/>
        <w:outlineLvl w:val="9"/>
        <w:rPr>
          <w:rFonts w:hint="eastAsia" w:ascii="宋体"/>
          <w:sz w:val="32"/>
          <w:szCs w:val="32"/>
        </w:rPr>
      </w:pPr>
      <w:bookmarkStart w:id="0" w:name="_GoBack"/>
      <w:bookmarkEnd w:id="0"/>
    </w:p>
    <w:sectPr>
      <w:footerReference r:id="rId3" w:type="default"/>
      <w:footerReference r:id="rId4" w:type="even"/>
      <w:pgSz w:w="11906" w:h="16838"/>
      <w:pgMar w:top="1474" w:right="1418" w:bottom="907" w:left="1418"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华文中宋">
    <w:altName w:val="宋体"/>
    <w:panose1 w:val="02010600040101010101"/>
    <w:charset w:val="86"/>
    <w:family w:val="auto"/>
    <w:pitch w:val="default"/>
    <w:sig w:usb0="00000000" w:usb1="00000000" w:usb2="00000000" w:usb3="00000000" w:csb0="0004009F" w:csb1="DFD70000"/>
  </w:font>
  <w:font w:name="方正大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posOffset>5400675</wp:posOffset>
              </wp:positionH>
              <wp:positionV relativeFrom="paragraph">
                <wp:posOffset>-8890</wp:posOffset>
              </wp:positionV>
              <wp:extent cx="1828800" cy="18796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79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eastAsia="宋体"/>
                              <w:lang w:eastAsia="zh-CN"/>
                            </w:rPr>
                          </w:pPr>
                          <w:r>
                            <w:rPr>
                              <w:rFonts w:hint="eastAsia"/>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lang w:eastAsia="zh-CN"/>
                            </w:rPr>
                            <w:t>—</w:t>
                          </w:r>
                        </w:p>
                      </w:txbxContent>
                    </wps:txbx>
                    <wps:bodyPr rot="0" spcFirstLastPara="0" vertOverflow="overflow" horzOverflow="overflow" vert="horz" wrap="non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425.25pt;margin-top:-0.7pt;height:14.8pt;width:144pt;mso-position-horizontal-relative:margin;mso-wrap-style:none;z-index:251659264;mso-width-relative:page;mso-height-relative:page;" filled="f" stroked="f" coordsize="21600,21600" o:gfxdata="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efyrV2QAAAAoBAAAP&#10;AAAAAAAAAAEAIAAAACIAAABkcnMvZG93bnJldi54bWxQSwECFAAUAAAACACHTuJA5P9oCBcCAAAS&#10;BAAADgAAAAAAAAABACAAAAAoAQAAZHJzL2Uyb0RvYy54bWxQSwUGAAAAAAYABgBZAQAAsQUAAAAA&#10;">
              <v:fill on="f" focussize="0,0"/>
              <v:stroke on="f" weight="0.5pt"/>
              <v:imagedata o:title=""/>
              <o:lock v:ext="edit" aspectratio="f"/>
              <v:textbox inset="0mm,0mm,0mm,0mm">
                <w:txbxContent>
                  <w:p>
                    <w:pPr>
                      <w:pStyle w:val="5"/>
                      <w:rPr>
                        <w:rFonts w:hint="eastAsia" w:eastAsia="宋体"/>
                        <w:lang w:eastAsia="zh-CN"/>
                      </w:rPr>
                    </w:pPr>
                    <w:r>
                      <w:rPr>
                        <w:rFonts w:hint="eastAsia"/>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lang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3"/>
      </w:rPr>
    </w:pPr>
    <w:r>
      <w:fldChar w:fldCharType="begin"/>
    </w:r>
    <w:r>
      <w:rPr>
        <w:rStyle w:val="13"/>
      </w:rPr>
      <w:instrText xml:space="preserve">PAGE  </w:instrText>
    </w:r>
    <w:r>
      <w:fldChar w:fldCharType="end"/>
    </w:r>
  </w:p>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doNotCompres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05AC"/>
    <w:rsid w:val="000547A3"/>
    <w:rsid w:val="000718ED"/>
    <w:rsid w:val="000A1DA2"/>
    <w:rsid w:val="000A3106"/>
    <w:rsid w:val="00122E41"/>
    <w:rsid w:val="00166BD8"/>
    <w:rsid w:val="00196764"/>
    <w:rsid w:val="001D7751"/>
    <w:rsid w:val="002F05AC"/>
    <w:rsid w:val="00356BCA"/>
    <w:rsid w:val="00386A11"/>
    <w:rsid w:val="003C2F14"/>
    <w:rsid w:val="003D2975"/>
    <w:rsid w:val="003E1B9D"/>
    <w:rsid w:val="003E45AD"/>
    <w:rsid w:val="00453E66"/>
    <w:rsid w:val="00462468"/>
    <w:rsid w:val="005D4B2F"/>
    <w:rsid w:val="006575BD"/>
    <w:rsid w:val="00670DF8"/>
    <w:rsid w:val="006932C1"/>
    <w:rsid w:val="007416CA"/>
    <w:rsid w:val="00747C98"/>
    <w:rsid w:val="008A6C27"/>
    <w:rsid w:val="008A70B6"/>
    <w:rsid w:val="008E034F"/>
    <w:rsid w:val="009E7177"/>
    <w:rsid w:val="009F7CD3"/>
    <w:rsid w:val="00A80F90"/>
    <w:rsid w:val="00A818A7"/>
    <w:rsid w:val="00AE1CEF"/>
    <w:rsid w:val="00B47EA7"/>
    <w:rsid w:val="00C61152"/>
    <w:rsid w:val="00CD7F90"/>
    <w:rsid w:val="00DA326B"/>
    <w:rsid w:val="00DC4CFF"/>
    <w:rsid w:val="00DD3F27"/>
    <w:rsid w:val="00DE356F"/>
    <w:rsid w:val="00E02ADA"/>
    <w:rsid w:val="00ED6B40"/>
    <w:rsid w:val="00FB0811"/>
    <w:rsid w:val="00FD2068"/>
    <w:rsid w:val="01CA7616"/>
    <w:rsid w:val="0696278D"/>
    <w:rsid w:val="073039AE"/>
    <w:rsid w:val="09BF0D77"/>
    <w:rsid w:val="0A8E7CC8"/>
    <w:rsid w:val="0F0802E6"/>
    <w:rsid w:val="111076EE"/>
    <w:rsid w:val="15BF203A"/>
    <w:rsid w:val="1B6A4E6C"/>
    <w:rsid w:val="1BA32206"/>
    <w:rsid w:val="1D3C5676"/>
    <w:rsid w:val="28353865"/>
    <w:rsid w:val="28A331EE"/>
    <w:rsid w:val="291B3275"/>
    <w:rsid w:val="2EB22EA8"/>
    <w:rsid w:val="3174113C"/>
    <w:rsid w:val="3596321A"/>
    <w:rsid w:val="386E4B21"/>
    <w:rsid w:val="388265DF"/>
    <w:rsid w:val="3AB74DF5"/>
    <w:rsid w:val="3AEC46DC"/>
    <w:rsid w:val="3B710ADD"/>
    <w:rsid w:val="3CD84852"/>
    <w:rsid w:val="3E4E6772"/>
    <w:rsid w:val="3FE40153"/>
    <w:rsid w:val="41BE3B8B"/>
    <w:rsid w:val="4B0B7037"/>
    <w:rsid w:val="4BD547AA"/>
    <w:rsid w:val="4BE11D4C"/>
    <w:rsid w:val="4C7526A4"/>
    <w:rsid w:val="4EA74D64"/>
    <w:rsid w:val="4EC3501C"/>
    <w:rsid w:val="529B6124"/>
    <w:rsid w:val="5440490A"/>
    <w:rsid w:val="58C0486F"/>
    <w:rsid w:val="5A067CD8"/>
    <w:rsid w:val="5EF731A5"/>
    <w:rsid w:val="60577F81"/>
    <w:rsid w:val="606C1E22"/>
    <w:rsid w:val="626A2CBB"/>
    <w:rsid w:val="69B76A34"/>
    <w:rsid w:val="6EFA64B8"/>
    <w:rsid w:val="709F639A"/>
    <w:rsid w:val="734A48A2"/>
    <w:rsid w:val="73961D7A"/>
    <w:rsid w:val="739C7FD4"/>
    <w:rsid w:val="73D33707"/>
    <w:rsid w:val="74BF55C1"/>
    <w:rsid w:val="759049C2"/>
    <w:rsid w:val="776B5B98"/>
    <w:rsid w:val="77D72E11"/>
    <w:rsid w:val="7812478C"/>
    <w:rsid w:val="790578A3"/>
    <w:rsid w:val="7D817759"/>
    <w:rsid w:val="7E184F63"/>
    <w:rsid w:val="7EC4432D"/>
    <w:rsid w:val="7F770A63"/>
    <w:rsid w:val="7F8D4B7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unhideWhenUsed/>
    <w:qFormat/>
    <w:uiPriority w:val="0"/>
    <w:pPr>
      <w:spacing w:before="100" w:beforeAutospacing="1" w:after="100" w:afterAutospacing="1"/>
      <w:jc w:val="left"/>
    </w:pPr>
    <w:rPr>
      <w:rFonts w:hint="eastAsia" w:ascii="宋体" w:hAnsi="宋体" w:eastAsia="宋体" w:cs="宋体"/>
      <w:b/>
      <w:kern w:val="0"/>
      <w:sz w:val="36"/>
      <w:szCs w:val="36"/>
      <w:lang w:val="en-US" w:eastAsia="zh-CN" w:bidi="ar"/>
    </w:rPr>
  </w:style>
  <w:style w:type="character" w:default="1" w:styleId="10">
    <w:name w:val="Default Paragraph Font"/>
    <w:link w:val="11"/>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Indent"/>
    <w:basedOn w:val="1"/>
    <w:qFormat/>
    <w:uiPriority w:val="0"/>
    <w:pPr>
      <w:spacing w:line="600" w:lineRule="exact"/>
      <w:ind w:firstLine="640" w:firstLineChars="200"/>
    </w:pPr>
    <w:rPr>
      <w:rFonts w:ascii="仿宋_GB2312" w:eastAsia="仿宋_GB2312"/>
      <w:sz w:val="32"/>
    </w:rPr>
  </w:style>
  <w:style w:type="paragraph" w:styleId="4">
    <w:name w:val="Balloon Text"/>
    <w:basedOn w:val="1"/>
    <w:semiHidden/>
    <w:qFormat/>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0"/>
    <w:pPr>
      <w:jc w:val="left"/>
    </w:pPr>
    <w:rPr>
      <w:rFonts w:ascii="Calibri" w:hAnsi="Calibri"/>
      <w:kern w:val="0"/>
      <w:sz w:val="24"/>
      <w:szCs w:val="22"/>
    </w:rPr>
  </w:style>
  <w:style w:type="table" w:styleId="9">
    <w:name w:val="Table Grid"/>
    <w:basedOn w:val="8"/>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1">
    <w:name w:val=" Char Char Char Char Char Char"/>
    <w:basedOn w:val="1"/>
    <w:link w:val="10"/>
    <w:qFormat/>
    <w:uiPriority w:val="0"/>
    <w:rPr>
      <w:rFonts w:ascii="Tahoma" w:hAnsi="Tahoma"/>
      <w:sz w:val="24"/>
      <w:szCs w:val="20"/>
    </w:rPr>
  </w:style>
  <w:style w:type="character" w:styleId="12">
    <w:name w:val="Strong"/>
    <w:basedOn w:val="10"/>
    <w:qFormat/>
    <w:uiPriority w:val="0"/>
    <w:rPr>
      <w:b/>
    </w:rPr>
  </w:style>
  <w:style w:type="character" w:styleId="13">
    <w:name w:val="page number"/>
    <w:basedOn w:val="10"/>
    <w:uiPriority w:val="0"/>
  </w:style>
  <w:style w:type="paragraph" w:customStyle="1" w:styleId="14">
    <w:name w:val="Char"/>
    <w:basedOn w:val="1"/>
    <w:uiPriority w:val="0"/>
    <w:pPr>
      <w:widowControl/>
      <w:spacing w:after="160" w:line="240" w:lineRule="exact"/>
      <w:jc w:val="left"/>
    </w:pPr>
    <w:rPr>
      <w:rFonts w:ascii="Verdana" w:hAnsi="Verdana" w:eastAsia="仿宋_GB2312"/>
      <w:kern w:val="0"/>
      <w:sz w:val="24"/>
      <w:szCs w:val="20"/>
      <w:lang w:eastAsia="en-US"/>
    </w:rPr>
  </w:style>
  <w:style w:type="character" w:customStyle="1" w:styleId="15">
    <w:name w:val="页眉 Char"/>
    <w:link w:val="6"/>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5</Words>
  <Characters>31</Characters>
  <Lines>1</Lines>
  <Paragraphs>1</Paragraphs>
  <TotalTime>1</TotalTime>
  <ScaleCrop>false</ScaleCrop>
  <LinksUpToDate>false</LinksUpToDate>
  <CharactersWithSpaces>35</CharactersWithSpaces>
  <Application>WPS Office_11.8.2.9017_F1E327BC-269C-435d-A152-05C5408002CA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2013-01-16T03:46:00Z</dcterms:created>
  <dc:creator>刘定决</dc:creator>
  <cp:lastModifiedBy>null</cp:lastModifiedBy>
  <cp:lastPrinted>2021-08-23T08:12:00Z</cp:lastPrinted>
  <dcterms:modified xsi:type="dcterms:W3CDTF">2021-08-25T09:40:30Z</dcterms:modified>
  <dc:title>深圳市福田区文化局工会工作委员会</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2052-11.8.2.9017</vt:lpwstr>
  </property>
</Properties>
</file>