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eastAsia="仿宋_GB2312"/>
          <w:sz w:val="32"/>
          <w:szCs w:val="32"/>
        </w:rPr>
      </w:pPr>
      <w:bookmarkStart w:id="2" w:name="_GoBack"/>
      <w:bookmarkEnd w:id="2"/>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0" w:firstLineChars="0"/>
        <w:rPr>
          <w:rFonts w:hint="eastAsia" w:ascii="楷体_GB2312" w:hAnsi="宋体" w:eastAsia="楷体_GB2312"/>
          <w:b/>
          <w:sz w:val="32"/>
          <w:szCs w:val="32"/>
        </w:rPr>
      </w:pPr>
      <w:r>
        <w:rPr>
          <w:rFonts w:hint="eastAsia" w:ascii="楷体_GB2312" w:hAnsi="宋体" w:eastAsia="楷体_GB2312"/>
          <w:b/>
          <w:sz w:val="32"/>
          <w:szCs w:val="32"/>
          <w:lang w:val="en-US" w:eastAsia="zh-CN"/>
        </w:rPr>
        <w:t xml:space="preserve">               </w:t>
      </w:r>
      <w:r>
        <w:rPr>
          <w:rFonts w:hint="eastAsia" w:ascii="楷体_GB2312" w:hAnsi="宋体" w:eastAsia="楷体_GB2312"/>
          <w:b/>
          <w:sz w:val="32"/>
          <w:szCs w:val="32"/>
        </w:rPr>
        <w:t>深福审基结</w:t>
      </w:r>
      <w:r>
        <w:rPr>
          <w:rFonts w:hint="eastAsia" w:ascii="楷体_GB2312" w:hAnsi="宋体" w:eastAsia="楷体_GB2312"/>
          <w:b/>
          <w:sz w:val="32"/>
          <w:szCs w:val="32"/>
          <w:lang w:eastAsia="zh-CN"/>
        </w:rPr>
        <w:t>〔</w:t>
      </w:r>
      <w:r>
        <w:rPr>
          <w:rFonts w:hint="eastAsia" w:ascii="楷体_GB2312" w:hAnsi="宋体" w:eastAsia="楷体_GB2312"/>
          <w:b/>
          <w:sz w:val="32"/>
          <w:szCs w:val="32"/>
        </w:rPr>
        <w:t>201</w:t>
      </w:r>
      <w:r>
        <w:rPr>
          <w:rFonts w:hint="eastAsia" w:ascii="楷体_GB2312" w:hAnsi="宋体" w:eastAsia="楷体_GB2312"/>
          <w:b/>
          <w:sz w:val="32"/>
          <w:szCs w:val="32"/>
          <w:lang w:val="en-US" w:eastAsia="zh-CN"/>
        </w:rPr>
        <w:t>7</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252</w:t>
      </w:r>
      <w:r>
        <w:rPr>
          <w:rFonts w:hint="eastAsia" w:ascii="楷体_GB2312" w:hAnsi="宋体" w:eastAsia="楷体_GB2312"/>
          <w:b/>
          <w:sz w:val="32"/>
          <w:szCs w:val="32"/>
        </w:rPr>
        <w:t>号</w:t>
      </w: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rPr>
          <w:rFonts w:hint="eastAsia" w:ascii="仿宋_GB2312" w:eastAsia="仿宋_GB2312"/>
          <w:b/>
          <w:sz w:val="32"/>
          <w:szCs w:val="32"/>
        </w:rPr>
      </w:pPr>
    </w:p>
    <w:p>
      <w:pPr>
        <w:ind w:firstLine="643" w:firstLineChars="200"/>
        <w:rPr>
          <w:rFonts w:hint="eastAsia" w:ascii="仿宋_GB2312" w:eastAsia="仿宋_GB2312"/>
          <w:b/>
          <w:bCs/>
          <w:sz w:val="32"/>
          <w:szCs w:val="32"/>
        </w:rPr>
      </w:pPr>
    </w:p>
    <w:p>
      <w:pPr>
        <w:jc w:val="left"/>
        <w:rPr>
          <w:rFonts w:hint="eastAsia" w:ascii="楷体_GB2312" w:hAnsi="Calibri" w:eastAsia="楷体_GB2312"/>
          <w:b/>
          <w:bCs/>
          <w:sz w:val="32"/>
        </w:rPr>
      </w:pPr>
      <w:r>
        <w:rPr>
          <w:rFonts w:hint="eastAsia"/>
          <w:b/>
          <w:bCs/>
          <w:spacing w:val="8"/>
          <w:sz w:val="32"/>
        </w:rPr>
        <w:t>被审计单位：</w:t>
      </w:r>
      <w:r>
        <w:rPr>
          <w:rFonts w:hint="eastAsia" w:ascii="楷体_GB2312" w:eastAsia="楷体_GB2312"/>
          <w:b/>
          <w:bCs/>
          <w:sz w:val="32"/>
        </w:rPr>
        <w:t>深圳明德实验学校</w:t>
      </w:r>
    </w:p>
    <w:p>
      <w:pPr>
        <w:ind w:left="1608" w:leftChars="1" w:hanging="1606" w:hangingChars="500"/>
        <w:rPr>
          <w:rFonts w:hint="eastAsia" w:ascii="楷体_GB2312" w:eastAsia="楷体_GB2312"/>
          <w:b/>
          <w:bCs/>
          <w:sz w:val="32"/>
        </w:rPr>
      </w:pPr>
      <w:r>
        <w:rPr>
          <w:rFonts w:hint="eastAsia"/>
          <w:b/>
          <w:bCs/>
          <w:sz w:val="32"/>
        </w:rPr>
        <w:t>审计项目：</w:t>
      </w:r>
      <w:r>
        <w:rPr>
          <w:rFonts w:hint="eastAsia" w:ascii="楷体_GB2312" w:eastAsia="楷体_GB2312"/>
          <w:b/>
          <w:bCs/>
          <w:sz w:val="32"/>
        </w:rPr>
        <w:t>深圳明德实验学校室内篮球馆装饰工程结算</w:t>
      </w:r>
    </w:p>
    <w:p>
      <w:pPr>
        <w:spacing w:beforeLines="0" w:afterLines="0" w:line="560" w:lineRule="exact"/>
        <w:ind w:firstLine="640" w:firstLineChars="200"/>
        <w:rPr>
          <w:rFonts w:eastAsia="黑体"/>
          <w:sz w:val="32"/>
        </w:rPr>
        <w:sectPr>
          <w:headerReference r:id="rId3" w:type="default"/>
          <w:footerReference r:id="rId4" w:type="default"/>
          <w:pgSz w:w="11906" w:h="16838"/>
          <w:pgMar w:top="2098" w:right="1474" w:bottom="1984" w:left="1587" w:header="851" w:footer="992" w:gutter="0"/>
          <w:paperSrc/>
          <w:pgNumType w:fmt="numberInDash" w:start="1"/>
          <w:cols w:space="720" w:num="1"/>
          <w:rtlGutter w:val="0"/>
          <w:docGrid w:type="lines" w:linePitch="318" w:charSpace="0"/>
        </w:sectPr>
      </w:pP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根据《深圳经济特区审计监督条例》和《深圳经济特区政府投资项目审计监督条例》的规定，2016年4月18日至2016年7月19日，我局对深圳明德实验学校室内篮球馆装饰工程结算进行了审计,审计工作得到了深圳明德实验学校的支持与配合,审计过程中查阅了该单位提供的招投标文件、合同书、验收报告等项目竣工资料。根据有关审计准则，深圳明德实验学校对其提供的与审计有关的所有材料的真实性、完整性负责，无故意隐瞒或遗漏。审计机关的责任是对其进行审计并出具审计报告。</w:t>
      </w:r>
    </w:p>
    <w:p>
      <w:pPr>
        <w:spacing w:before="0" w:beforeLines="0" w:after="0" w:afterLines="0" w:line="560" w:lineRule="exact"/>
        <w:ind w:firstLine="627" w:firstLineChars="196"/>
        <w:rPr>
          <w:rFonts w:hint="eastAsia" w:ascii="黑体" w:hAnsi="宋体" w:eastAsia="黑体"/>
          <w:b w:val="0"/>
          <w:bCs w:val="0"/>
          <w:sz w:val="32"/>
          <w:szCs w:val="32"/>
        </w:rPr>
      </w:pPr>
      <w:r>
        <w:rPr>
          <w:rFonts w:hint="eastAsia" w:ascii="黑体" w:hAnsi="宋体" w:eastAsia="黑体"/>
          <w:b w:val="0"/>
          <w:bCs w:val="0"/>
          <w:sz w:val="32"/>
          <w:szCs w:val="32"/>
        </w:rPr>
        <w:t>一、项目基本情况</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深圳明德实验学校室内篮球馆装饰工程根据</w:t>
      </w:r>
      <w:bookmarkStart w:id="0" w:name="OLE_LINK1"/>
      <w:bookmarkStart w:id="1" w:name="OLE_LINK4"/>
      <w:r>
        <w:rPr>
          <w:rFonts w:hint="eastAsia" w:ascii="仿宋_GB2312" w:hAnsi="宋体" w:eastAsia="仿宋_GB2312"/>
          <w:b w:val="0"/>
          <w:bCs w:val="0"/>
          <w:sz w:val="32"/>
          <w:szCs w:val="32"/>
        </w:rPr>
        <w:t>《合作办学框架协议》《深圳明德实验学校开办费预算表》（小初)</w:t>
      </w:r>
      <w:bookmarkEnd w:id="0"/>
      <w:r>
        <w:rPr>
          <w:rFonts w:hint="eastAsia" w:ascii="仿宋_GB2312" w:hAnsi="宋体" w:eastAsia="仿宋_GB2312"/>
          <w:b w:val="0"/>
          <w:bCs w:val="0"/>
          <w:sz w:val="32"/>
          <w:szCs w:val="32"/>
        </w:rPr>
        <w:t>建设，</w:t>
      </w:r>
      <w:bookmarkEnd w:id="1"/>
      <w:r>
        <w:rPr>
          <w:rFonts w:hint="eastAsia" w:ascii="仿宋_GB2312" w:hAnsi="宋体" w:eastAsia="仿宋_GB2312"/>
          <w:b w:val="0"/>
          <w:bCs w:val="0"/>
          <w:sz w:val="32"/>
          <w:szCs w:val="32"/>
        </w:rPr>
        <w:t>项目总投资1</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636</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512元。项目建设内容是学校四层室内篮球馆装饰工程。2014年7月9日，深圳明德实验学校自行采用竞争性评估的方式进行采购，确定深圳市维业装饰集团股份有限公司为本项目的中标单位，中标价1</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050</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000元（合同价1</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050</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000元）。</w:t>
      </w:r>
    </w:p>
    <w:p>
      <w:pPr>
        <w:spacing w:before="0" w:beforeLines="0" w:after="0" w:afterLines="0" w:line="560" w:lineRule="exact"/>
        <w:rPr>
          <w:rFonts w:hint="eastAsia" w:ascii="黑体" w:hAnsi="宋体" w:eastAsia="黑体"/>
          <w:b w:val="0"/>
          <w:bCs w:val="0"/>
          <w:sz w:val="32"/>
          <w:szCs w:val="32"/>
        </w:rPr>
      </w:pPr>
      <w:r>
        <w:rPr>
          <w:rFonts w:hint="eastAsia" w:ascii="黑体" w:hAnsi="宋体" w:eastAsia="黑体"/>
          <w:b w:val="0"/>
          <w:bCs w:val="0"/>
          <w:sz w:val="32"/>
          <w:szCs w:val="32"/>
        </w:rPr>
        <w:t xml:space="preserve">    二、审计结果与说明</w:t>
      </w:r>
    </w:p>
    <w:p>
      <w:pPr>
        <w:spacing w:beforeLines="0" w:afterLines="0" w:line="560" w:lineRule="exact"/>
        <w:ind w:firstLine="640" w:firstLineChars="200"/>
        <w:rPr>
          <w:rFonts w:hint="eastAsia" w:ascii="仿宋_GB2312" w:hAnsi="宋体" w:eastAsia="仿宋_GB2312"/>
          <w:b w:val="0"/>
          <w:bCs w:val="0"/>
          <w:color w:val="FF0000"/>
          <w:sz w:val="32"/>
          <w:szCs w:val="32"/>
        </w:rPr>
      </w:pPr>
      <w:r>
        <w:rPr>
          <w:rFonts w:hint="eastAsia" w:ascii="仿宋_GB2312" w:hAnsi="宋体" w:eastAsia="仿宋_GB2312"/>
          <w:b w:val="0"/>
          <w:bCs w:val="0"/>
          <w:sz w:val="32"/>
          <w:szCs w:val="32"/>
        </w:rPr>
        <w:t>深圳明德实验学校室内篮球馆装饰工程结算送审工程造价1</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265</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392.58元，经审计，审定结算造价为</w:t>
      </w:r>
      <w:r>
        <w:rPr>
          <w:rFonts w:ascii="仿宋_GB2312" w:hAnsi="宋体" w:eastAsia="仿宋_GB2312"/>
          <w:b w:val="0"/>
          <w:bCs w:val="0"/>
          <w:sz w:val="32"/>
          <w:szCs w:val="32"/>
        </w:rPr>
        <w:t>1</w:t>
      </w:r>
      <w:r>
        <w:rPr>
          <w:rFonts w:hint="eastAsia" w:ascii="仿宋_GB2312" w:hAnsi="宋体" w:eastAsia="仿宋_GB2312"/>
          <w:b w:val="0"/>
          <w:bCs w:val="0"/>
          <w:sz w:val="32"/>
          <w:szCs w:val="32"/>
          <w:lang w:val="en-US" w:eastAsia="zh-CN"/>
        </w:rPr>
        <w:t>,</w:t>
      </w:r>
      <w:r>
        <w:rPr>
          <w:rFonts w:ascii="仿宋_GB2312" w:hAnsi="宋体" w:eastAsia="仿宋_GB2312"/>
          <w:b w:val="0"/>
          <w:bCs w:val="0"/>
          <w:sz w:val="32"/>
          <w:szCs w:val="32"/>
        </w:rPr>
        <w:t>036</w:t>
      </w:r>
      <w:r>
        <w:rPr>
          <w:rFonts w:hint="eastAsia" w:ascii="仿宋_GB2312" w:hAnsi="宋体" w:eastAsia="仿宋_GB2312"/>
          <w:b w:val="0"/>
          <w:bCs w:val="0"/>
          <w:sz w:val="32"/>
          <w:szCs w:val="32"/>
          <w:lang w:val="en-US" w:eastAsia="zh-CN"/>
        </w:rPr>
        <w:t>,</w:t>
      </w:r>
      <w:r>
        <w:rPr>
          <w:rFonts w:ascii="仿宋_GB2312" w:hAnsi="宋体" w:eastAsia="仿宋_GB2312"/>
          <w:b w:val="0"/>
          <w:bCs w:val="0"/>
          <w:sz w:val="32"/>
          <w:szCs w:val="32"/>
        </w:rPr>
        <w:t>258.27</w:t>
      </w:r>
      <w:r>
        <w:rPr>
          <w:rFonts w:hint="eastAsia" w:ascii="仿宋_GB2312" w:hAnsi="宋体" w:eastAsia="仿宋_GB2312"/>
          <w:b w:val="0"/>
          <w:bCs w:val="0"/>
          <w:sz w:val="32"/>
          <w:szCs w:val="32"/>
        </w:rPr>
        <w:t>元，核减</w:t>
      </w:r>
      <w:r>
        <w:rPr>
          <w:rFonts w:ascii="仿宋_GB2312" w:hAnsi="宋体" w:eastAsia="仿宋_GB2312"/>
          <w:b w:val="0"/>
          <w:bCs w:val="0"/>
          <w:sz w:val="32"/>
          <w:szCs w:val="32"/>
        </w:rPr>
        <w:t>229</w:t>
      </w:r>
      <w:r>
        <w:rPr>
          <w:rFonts w:hint="eastAsia" w:ascii="仿宋_GB2312" w:hAnsi="宋体" w:eastAsia="仿宋_GB2312"/>
          <w:b w:val="0"/>
          <w:bCs w:val="0"/>
          <w:sz w:val="32"/>
          <w:szCs w:val="32"/>
          <w:lang w:val="en-US" w:eastAsia="zh-CN"/>
        </w:rPr>
        <w:t>,</w:t>
      </w:r>
      <w:r>
        <w:rPr>
          <w:rFonts w:ascii="仿宋_GB2312" w:hAnsi="宋体" w:eastAsia="仿宋_GB2312"/>
          <w:b w:val="0"/>
          <w:bCs w:val="0"/>
          <w:sz w:val="32"/>
          <w:szCs w:val="32"/>
        </w:rPr>
        <w:t>134.31</w:t>
      </w:r>
      <w:r>
        <w:rPr>
          <w:rFonts w:hint="eastAsia" w:ascii="仿宋_GB2312" w:hAnsi="宋体" w:eastAsia="仿宋_GB2312"/>
          <w:b w:val="0"/>
          <w:bCs w:val="0"/>
          <w:sz w:val="32"/>
          <w:szCs w:val="32"/>
        </w:rPr>
        <w:t>元，核减率18.11%。审定价不含设计费和监理费。</w:t>
      </w:r>
    </w:p>
    <w:p>
      <w:pPr>
        <w:spacing w:beforeLines="0" w:afterLines="0" w:line="560" w:lineRule="exact"/>
        <w:ind w:firstLine="640" w:firstLineChars="200"/>
        <w:rPr>
          <w:rFonts w:hint="eastAsia" w:ascii="楷体_GB2312" w:hAnsi="宋体" w:eastAsia="楷体_GB2312" w:cs="Arial"/>
          <w:b w:val="0"/>
          <w:bCs w:val="0"/>
          <w:sz w:val="32"/>
          <w:szCs w:val="32"/>
        </w:rPr>
      </w:pPr>
      <w:r>
        <w:rPr>
          <w:rFonts w:hint="eastAsia" w:ascii="楷体_GB2312" w:hAnsi="宋体" w:eastAsia="楷体_GB2312" w:cs="Arial"/>
          <w:b w:val="0"/>
          <w:bCs w:val="0"/>
          <w:sz w:val="32"/>
          <w:szCs w:val="32"/>
        </w:rPr>
        <w:t>（二）审计说明</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1. 项目结算单价按合同规定采用固定单价合同，项目单价为区审计局审定预算单价下浮20%后的金额。对没有投标价的变更项目的单价确定方法，以施工期间《深圳市建设工程价格信息》公布的材料、设备单价计算出该项目的综合单价，然后按20%下浮比例对该综合单价进行下浮调整后，确定该项目单价。</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2.项目结算价超合同价的原因</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审定价超合同价73</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842.92元，主要原因是校方与施工方签补充协议增加了部分工程内容和设计变更因改变施工做法等原因。</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楷体_GB2312" w:hAnsi="宋体" w:eastAsia="楷体_GB2312" w:cs="Arial"/>
          <w:b w:val="0"/>
          <w:bCs w:val="0"/>
          <w:sz w:val="32"/>
          <w:szCs w:val="32"/>
        </w:rPr>
        <w:t>（三）</w:t>
      </w:r>
      <w:r>
        <w:rPr>
          <w:rFonts w:hint="eastAsia" w:ascii="仿宋_GB2312" w:hAnsi="宋体" w:eastAsia="仿宋_GB2312"/>
          <w:b w:val="0"/>
          <w:bCs w:val="0"/>
          <w:sz w:val="32"/>
          <w:szCs w:val="32"/>
        </w:rPr>
        <w:t>项目主要审减原因</w:t>
      </w:r>
    </w:p>
    <w:p>
      <w:pPr>
        <w:spacing w:before="0" w:beforeLines="0" w:after="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（1）调整装饰签证夹层部分的钢结构和不锈钢金属防盗窗工程量，共核减50</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331.63元；</w:t>
      </w:r>
    </w:p>
    <w:p>
      <w:pPr>
        <w:spacing w:before="0" w:beforeLines="0" w:after="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（2）由于原合同内浅灰色铝格栅天花未做，扣减工程量，共核减金额51</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386.72元</w:t>
      </w:r>
    </w:p>
    <w:p>
      <w:pPr>
        <w:spacing w:before="0" w:beforeLines="0" w:after="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（3）由于原合同内吊顶天棚（12厚石膏造型天花）未做，扣减工程量，共核减金额38</w:t>
      </w:r>
      <w:r>
        <w:rPr>
          <w:rFonts w:hint="eastAsia" w:ascii="仿宋_GB2312" w:hAnsi="宋体" w:eastAsia="仿宋_GB2312"/>
          <w:b w:val="0"/>
          <w:bCs w:val="0"/>
          <w:sz w:val="32"/>
          <w:szCs w:val="32"/>
          <w:lang w:val="en-US" w:eastAsia="zh-CN"/>
        </w:rPr>
        <w:t>,</w:t>
      </w:r>
      <w:r>
        <w:rPr>
          <w:rFonts w:hint="eastAsia" w:ascii="仿宋_GB2312" w:hAnsi="宋体" w:eastAsia="仿宋_GB2312"/>
          <w:b w:val="0"/>
          <w:bCs w:val="0"/>
          <w:sz w:val="32"/>
          <w:szCs w:val="32"/>
        </w:rPr>
        <w:t>594.94元</w:t>
      </w:r>
    </w:p>
    <w:p>
      <w:pPr>
        <w:spacing w:before="0" w:beforeLines="0" w:after="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（4）由于合同是施工图总价包干，扣减安装签证部分电器、暖通消防等属于原施工图部分的工程量，共核减</w:t>
      </w:r>
      <w:r>
        <w:rPr>
          <w:rFonts w:ascii="仿宋_GB2312" w:hAnsi="宋体" w:eastAsia="仿宋_GB2312"/>
          <w:b w:val="0"/>
          <w:bCs w:val="0"/>
          <w:sz w:val="32"/>
          <w:szCs w:val="32"/>
        </w:rPr>
        <w:t>80</w:t>
      </w:r>
      <w:r>
        <w:rPr>
          <w:rFonts w:hint="eastAsia" w:ascii="仿宋_GB2312" w:hAnsi="宋体" w:eastAsia="仿宋_GB2312"/>
          <w:b w:val="0"/>
          <w:bCs w:val="0"/>
          <w:sz w:val="32"/>
          <w:szCs w:val="32"/>
          <w:lang w:val="en-US" w:eastAsia="zh-CN"/>
        </w:rPr>
        <w:t>,</w:t>
      </w:r>
      <w:r>
        <w:rPr>
          <w:rFonts w:ascii="仿宋_GB2312" w:hAnsi="宋体" w:eastAsia="仿宋_GB2312"/>
          <w:b w:val="0"/>
          <w:bCs w:val="0"/>
          <w:sz w:val="32"/>
          <w:szCs w:val="32"/>
        </w:rPr>
        <w:t>016.83</w:t>
      </w:r>
      <w:r>
        <w:rPr>
          <w:rFonts w:hint="eastAsia" w:ascii="仿宋_GB2312" w:hAnsi="宋体" w:eastAsia="仿宋_GB2312"/>
          <w:b w:val="0"/>
          <w:bCs w:val="0"/>
          <w:sz w:val="32"/>
          <w:szCs w:val="32"/>
        </w:rPr>
        <w:t>元；</w:t>
      </w:r>
    </w:p>
    <w:p>
      <w:pPr>
        <w:spacing w:before="0" w:beforeLines="0" w:after="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（5）</w:t>
      </w:r>
      <w:r>
        <w:rPr>
          <w:rFonts w:hint="eastAsia" w:ascii="仿宋_GB2312" w:hAnsi="宋体" w:eastAsia="仿宋_GB2312" w:cs="Arial"/>
          <w:b w:val="0"/>
          <w:bCs w:val="0"/>
          <w:sz w:val="32"/>
          <w:szCs w:val="32"/>
        </w:rPr>
        <w:t>原签证部分无规费税金等其它费，现予以计取后核减</w:t>
      </w:r>
      <w:r>
        <w:rPr>
          <w:rFonts w:ascii="仿宋_GB2312" w:hAnsi="宋体" w:eastAsia="仿宋_GB2312" w:cs="Arial"/>
          <w:b w:val="0"/>
          <w:bCs w:val="0"/>
          <w:sz w:val="32"/>
          <w:szCs w:val="32"/>
        </w:rPr>
        <w:t>8</w:t>
      </w:r>
      <w:r>
        <w:rPr>
          <w:rFonts w:hint="eastAsia" w:ascii="仿宋_GB2312" w:hAnsi="宋体" w:eastAsia="仿宋_GB2312" w:cs="Arial"/>
          <w:b w:val="0"/>
          <w:bCs w:val="0"/>
          <w:sz w:val="32"/>
          <w:szCs w:val="32"/>
          <w:lang w:val="en-US" w:eastAsia="zh-CN"/>
        </w:rPr>
        <w:t>,</w:t>
      </w:r>
      <w:r>
        <w:rPr>
          <w:rFonts w:ascii="仿宋_GB2312" w:hAnsi="宋体" w:eastAsia="仿宋_GB2312" w:cs="Arial"/>
          <w:b w:val="0"/>
          <w:bCs w:val="0"/>
          <w:sz w:val="32"/>
          <w:szCs w:val="32"/>
        </w:rPr>
        <w:t>804.19</w:t>
      </w:r>
      <w:r>
        <w:rPr>
          <w:rFonts w:hint="eastAsia" w:ascii="仿宋_GB2312" w:hAnsi="宋体" w:eastAsia="仿宋_GB2312" w:cs="Arial"/>
          <w:b w:val="0"/>
          <w:bCs w:val="0"/>
          <w:sz w:val="32"/>
          <w:szCs w:val="32"/>
        </w:rPr>
        <w:t>元。</w:t>
      </w:r>
    </w:p>
    <w:p>
      <w:pPr>
        <w:spacing w:before="0" w:beforeLines="0" w:after="0" w:afterLines="0" w:line="560" w:lineRule="exact"/>
        <w:ind w:firstLine="640" w:firstLineChars="200"/>
        <w:rPr>
          <w:rFonts w:ascii="黑体" w:hAnsi="宋体" w:eastAsia="黑体"/>
          <w:b w:val="0"/>
          <w:bCs w:val="0"/>
          <w:sz w:val="32"/>
          <w:szCs w:val="32"/>
        </w:rPr>
      </w:pPr>
      <w:r>
        <w:rPr>
          <w:rFonts w:hint="eastAsia" w:ascii="黑体" w:hAnsi="宋体" w:eastAsia="黑体"/>
          <w:b w:val="0"/>
          <w:bCs w:val="0"/>
          <w:sz w:val="32"/>
          <w:szCs w:val="32"/>
        </w:rPr>
        <w:t>三、审计评价</w:t>
      </w:r>
    </w:p>
    <w:p>
      <w:pPr>
        <w:spacing w:beforeLines="0" w:afterLines="0" w:line="560" w:lineRule="exact"/>
        <w:ind w:firstLine="640" w:firstLineChars="200"/>
        <w:rPr>
          <w:rFonts w:hint="eastAsia" w:ascii="仿宋_GB2312" w:hAnsi="仿宋_GB2312" w:eastAsia="仿宋_GB2312"/>
          <w:b w:val="0"/>
          <w:bCs w:val="0"/>
          <w:sz w:val="32"/>
          <w:szCs w:val="32"/>
        </w:rPr>
      </w:pPr>
      <w:r>
        <w:rPr>
          <w:rFonts w:hint="eastAsia" w:ascii="仿宋_GB2312" w:hAnsi="仿宋_GB2312" w:eastAsia="仿宋_GB2312"/>
          <w:b w:val="0"/>
          <w:bCs w:val="0"/>
          <w:sz w:val="32"/>
          <w:szCs w:val="32"/>
        </w:rPr>
        <w:t>审计结果表明，该工程基本上遵循了基本建设程序；在招投标管理方面，</w:t>
      </w:r>
      <w:r>
        <w:rPr>
          <w:rFonts w:hint="eastAsia" w:ascii="仿宋_GB2312" w:hAnsi="仿宋_GB2312" w:eastAsia="仿宋_GB2312"/>
          <w:b w:val="0"/>
          <w:bCs w:val="0"/>
          <w:color w:val="auto"/>
          <w:sz w:val="32"/>
          <w:szCs w:val="32"/>
        </w:rPr>
        <w:t>存在违规行为</w:t>
      </w:r>
      <w:r>
        <w:rPr>
          <w:rFonts w:hint="eastAsia" w:ascii="仿宋_GB2312" w:hAnsi="仿宋_GB2312" w:eastAsia="仿宋_GB2312"/>
          <w:b w:val="0"/>
          <w:bCs w:val="0"/>
          <w:sz w:val="32"/>
          <w:szCs w:val="32"/>
        </w:rPr>
        <w:t>；在投资控制方面，建设单位报送结算造价超合同价；在质量控制方面，竣工验收报告显示为合格。在结算报审方面，未按规定时限报送结（决）算审计。</w:t>
      </w:r>
    </w:p>
    <w:p>
      <w:pPr>
        <w:spacing w:before="0" w:beforeLines="0" w:after="0" w:afterLines="0" w:line="560" w:lineRule="exact"/>
        <w:ind w:firstLine="640" w:firstLineChars="200"/>
        <w:rPr>
          <w:rFonts w:hint="eastAsia" w:ascii="黑体" w:hAnsi="宋体" w:eastAsia="黑体"/>
          <w:b w:val="0"/>
          <w:bCs w:val="0"/>
          <w:sz w:val="32"/>
          <w:szCs w:val="32"/>
        </w:rPr>
      </w:pPr>
      <w:r>
        <w:rPr>
          <w:rFonts w:hint="eastAsia" w:ascii="黑体" w:hAnsi="宋体" w:eastAsia="黑体"/>
          <w:b w:val="0"/>
          <w:bCs w:val="0"/>
          <w:sz w:val="32"/>
          <w:szCs w:val="32"/>
        </w:rPr>
        <w:t>四、审计发现的主要问题及建议</w:t>
      </w:r>
    </w:p>
    <w:p>
      <w:pPr>
        <w:spacing w:before="0" w:beforeLines="0" w:after="0" w:afterLines="0" w:line="560" w:lineRule="exact"/>
        <w:ind w:firstLine="640" w:firstLineChars="200"/>
        <w:rPr>
          <w:rFonts w:hint="eastAsia" w:ascii="楷体" w:hAnsi="楷体" w:eastAsia="楷体"/>
          <w:b w:val="0"/>
          <w:bCs w:val="0"/>
          <w:sz w:val="32"/>
          <w:szCs w:val="32"/>
        </w:rPr>
      </w:pPr>
      <w:r>
        <w:rPr>
          <w:rFonts w:hint="eastAsia" w:ascii="楷体" w:hAnsi="楷体" w:eastAsia="楷体"/>
          <w:b w:val="0"/>
          <w:bCs w:val="0"/>
          <w:sz w:val="32"/>
          <w:szCs w:val="32"/>
        </w:rPr>
        <w:t>（一）</w:t>
      </w:r>
      <w:r>
        <w:rPr>
          <w:rFonts w:hint="eastAsia" w:ascii="楷体" w:hAnsi="楷体" w:eastAsia="楷体"/>
          <w:b w:val="0"/>
          <w:bCs w:val="0"/>
          <w:sz w:val="32"/>
          <w:szCs w:val="32"/>
          <w:lang w:eastAsia="zh-CN"/>
        </w:rPr>
        <w:t>该工程项目未按规定进行政府采购</w:t>
      </w:r>
    </w:p>
    <w:p>
      <w:pPr>
        <w:spacing w:before="0" w:beforeLines="0" w:after="0" w:afterLines="0" w:line="560" w:lineRule="exact"/>
        <w:ind w:firstLine="640" w:firstLineChars="200"/>
        <w:rPr>
          <w:rFonts w:hint="eastAsia" w:ascii="仿宋_GB2312" w:hAnsi="仿宋_GB2312" w:eastAsia="仿宋_GB2312"/>
          <w:b w:val="0"/>
          <w:bCs w:val="0"/>
          <w:sz w:val="32"/>
          <w:szCs w:val="32"/>
        </w:rPr>
      </w:pPr>
      <w:r>
        <w:rPr>
          <w:rFonts w:hint="eastAsia" w:ascii="仿宋_GB2312" w:hAnsi="仿宋_GB2312" w:eastAsia="仿宋_GB2312"/>
          <w:b w:val="0"/>
          <w:bCs w:val="0"/>
          <w:sz w:val="32"/>
          <w:szCs w:val="32"/>
          <w:lang w:eastAsia="zh-CN"/>
        </w:rPr>
        <w:t>该工程项目未按规定进行政府采购</w:t>
      </w:r>
      <w:r>
        <w:rPr>
          <w:rFonts w:hint="eastAsia" w:ascii="仿宋_GB2312" w:hAnsi="仿宋_GB2312" w:eastAsia="仿宋_GB2312"/>
          <w:b w:val="0"/>
          <w:bCs w:val="0"/>
          <w:sz w:val="32"/>
          <w:szCs w:val="32"/>
        </w:rPr>
        <w:t>。根据区政府和腾讯公益慈善基金会签定的《合作办学框架协议》2.8.3条约定“开办费、全额生均经费由甲方财政部门同意、集中划拨到学校银行账号，由学校统筹使用，具体使用办法有学校制定。”（注：甲方为福田区人民政府）。本次报送的工程结算项目的资金支出为学校开办费，即工程项目建设资金全部为区财政性资金。另据《深圳经济特区政府采购条例》第二条“国家机关、事业单位、团体组织使用财政性资金采购货物、工程或者服务的，适用本条例。”本工程合同价1</w:t>
      </w:r>
      <w:r>
        <w:rPr>
          <w:rFonts w:hint="eastAsia" w:ascii="仿宋_GB2312" w:hAnsi="仿宋_GB2312" w:eastAsia="仿宋_GB2312"/>
          <w:b w:val="0"/>
          <w:bCs w:val="0"/>
          <w:sz w:val="32"/>
          <w:szCs w:val="32"/>
          <w:lang w:val="en-US" w:eastAsia="zh-CN"/>
        </w:rPr>
        <w:t>,</w:t>
      </w:r>
      <w:r>
        <w:rPr>
          <w:rFonts w:hint="eastAsia" w:ascii="仿宋_GB2312" w:hAnsi="仿宋_GB2312" w:eastAsia="仿宋_GB2312"/>
          <w:b w:val="0"/>
          <w:bCs w:val="0"/>
          <w:sz w:val="32"/>
          <w:szCs w:val="32"/>
        </w:rPr>
        <w:t>050</w:t>
      </w:r>
      <w:r>
        <w:rPr>
          <w:rFonts w:hint="eastAsia" w:ascii="仿宋_GB2312" w:hAnsi="仿宋_GB2312" w:eastAsia="仿宋_GB2312"/>
          <w:b w:val="0"/>
          <w:bCs w:val="0"/>
          <w:sz w:val="32"/>
          <w:szCs w:val="32"/>
          <w:lang w:val="en-US" w:eastAsia="zh-CN"/>
        </w:rPr>
        <w:t>,</w:t>
      </w:r>
      <w:r>
        <w:rPr>
          <w:rFonts w:hint="eastAsia" w:ascii="仿宋_GB2312" w:hAnsi="仿宋_GB2312" w:eastAsia="仿宋_GB2312"/>
          <w:b w:val="0"/>
          <w:bCs w:val="0"/>
          <w:sz w:val="32"/>
          <w:szCs w:val="32"/>
        </w:rPr>
        <w:t>000元，建设单位</w:t>
      </w:r>
      <w:r>
        <w:rPr>
          <w:rFonts w:hint="eastAsia" w:ascii="仿宋_GB2312" w:hAnsi="仿宋_GB2312" w:eastAsia="仿宋_GB2312"/>
          <w:b w:val="0"/>
          <w:bCs w:val="0"/>
          <w:sz w:val="32"/>
          <w:szCs w:val="32"/>
          <w:lang w:eastAsia="zh-CN"/>
        </w:rPr>
        <w:t>应按规定进行政府采购。</w:t>
      </w:r>
    </w:p>
    <w:p>
      <w:pPr>
        <w:spacing w:before="0" w:beforeLines="0" w:after="0" w:afterLines="0" w:line="560" w:lineRule="exact"/>
        <w:ind w:firstLine="640" w:firstLineChars="200"/>
        <w:rPr>
          <w:rFonts w:hint="eastAsia" w:ascii="仿宋_GB2312" w:hAnsi="仿宋_GB2312" w:eastAsia="仿宋_GB2312"/>
          <w:b w:val="0"/>
          <w:bCs w:val="0"/>
          <w:sz w:val="32"/>
          <w:szCs w:val="32"/>
        </w:rPr>
      </w:pPr>
      <w:r>
        <w:rPr>
          <w:rFonts w:hint="eastAsia" w:ascii="仿宋_GB2312" w:hAnsi="仿宋_GB2312" w:eastAsia="仿宋_GB2312"/>
          <w:b w:val="0"/>
          <w:bCs w:val="0"/>
          <w:sz w:val="32"/>
          <w:szCs w:val="32"/>
        </w:rPr>
        <w:t>在与深圳明德实验学校的函询中，校方认为《合作办学框架协议》2.8.3条约定财政划拨的经费“由学校统筹使用，具体使用办法有学校制定。”但是，合同的签订均不应违背现行的法律和法规。校方可以根据《合作办学框架协议》约定自主决定资金的用途，但使用过程应遵守财政性资金的相关法律法规。</w:t>
      </w:r>
    </w:p>
    <w:p>
      <w:pPr>
        <w:spacing w:before="0" w:beforeLines="0" w:after="0" w:afterLines="0" w:line="560" w:lineRule="exact"/>
        <w:ind w:firstLine="640" w:firstLineChars="200"/>
        <w:rPr>
          <w:rFonts w:hint="eastAsia" w:ascii="仿宋_GB2312" w:hAnsi="仿宋_GB2312" w:eastAsia="仿宋_GB2312"/>
          <w:b w:val="0"/>
          <w:bCs w:val="0"/>
          <w:sz w:val="32"/>
          <w:szCs w:val="32"/>
        </w:rPr>
      </w:pPr>
      <w:r>
        <w:rPr>
          <w:rFonts w:hint="eastAsia" w:ascii="楷体" w:hAnsi="楷体" w:eastAsia="楷体"/>
          <w:b w:val="0"/>
          <w:bCs w:val="0"/>
          <w:sz w:val="32"/>
          <w:szCs w:val="32"/>
        </w:rPr>
        <w:t>（二）工程未按规定及时进行结（决）算审计</w:t>
      </w:r>
    </w:p>
    <w:p>
      <w:pPr>
        <w:spacing w:before="0" w:beforeLines="0" w:after="0" w:afterLines="0" w:line="560" w:lineRule="exact"/>
        <w:ind w:firstLine="640" w:firstLineChars="200"/>
        <w:rPr>
          <w:rFonts w:hint="eastAsia" w:ascii="仿宋_GB2312" w:hAnsi="仿宋_GB2312" w:eastAsia="仿宋_GB2312"/>
          <w:b w:val="0"/>
          <w:bCs w:val="0"/>
          <w:sz w:val="32"/>
          <w:szCs w:val="32"/>
        </w:rPr>
      </w:pPr>
      <w:r>
        <w:rPr>
          <w:rFonts w:hint="eastAsia" w:ascii="仿宋_GB2312" w:hAnsi="仿宋_GB2312" w:eastAsia="仿宋_GB2312"/>
          <w:b w:val="0"/>
          <w:bCs w:val="0"/>
          <w:sz w:val="32"/>
          <w:szCs w:val="32"/>
        </w:rPr>
        <w:t>本项目2014年9月5日通过竣工验收，但建设单位直到 2015年1月21日才将该项目结算资料报送我局进行结算审计。这种做法，不符合《深圳经济特区政府投资项目审计监督条例》第二十八条“建设、施工等与项目建设相关的单位，应当在项目完成竣工验收之日起九十日内，向审计机关提交相关资料进行项目竣工结算审计”的规定。</w:t>
      </w:r>
    </w:p>
    <w:p>
      <w:pPr>
        <w:spacing w:beforeLines="0" w:afterLines="0" w:line="560" w:lineRule="exact"/>
        <w:ind w:firstLine="640" w:firstLineChars="200"/>
        <w:rPr>
          <w:rFonts w:hint="eastAsia" w:ascii="仿宋_GB2312" w:hAnsi="仿宋_GB2312" w:eastAsia="仿宋_GB2312"/>
          <w:b w:val="0"/>
          <w:bCs w:val="0"/>
          <w:sz w:val="32"/>
          <w:szCs w:val="32"/>
        </w:rPr>
      </w:pPr>
      <w:r>
        <w:rPr>
          <w:rFonts w:hint="eastAsia" w:ascii="仿宋_GB2312" w:hAnsi="仿宋_GB2312" w:eastAsia="仿宋_GB2312"/>
          <w:b w:val="0"/>
          <w:bCs w:val="0"/>
          <w:sz w:val="32"/>
          <w:szCs w:val="32"/>
        </w:rPr>
        <w:t>建设单位应在今后的项目管理中严格按照《深圳经济特区政府投资项目审计监督条例》第二十八条的规定，在项目完成竣工验收后及时报送结（决）算审计。</w:t>
      </w:r>
    </w:p>
    <w:p>
      <w:pPr>
        <w:spacing w:before="0" w:beforeLines="0" w:after="0" w:afterLines="0" w:line="560" w:lineRule="exact"/>
        <w:ind w:firstLine="640" w:firstLineChars="200"/>
        <w:rPr>
          <w:rFonts w:hint="eastAsia" w:ascii="黑体" w:hAnsi="宋体" w:eastAsia="黑体"/>
          <w:b w:val="0"/>
          <w:bCs w:val="0"/>
          <w:sz w:val="32"/>
          <w:szCs w:val="32"/>
        </w:rPr>
      </w:pPr>
      <w:r>
        <w:rPr>
          <w:rFonts w:hint="eastAsia" w:ascii="黑体" w:hAnsi="宋体" w:eastAsia="黑体"/>
          <w:b w:val="0"/>
          <w:bCs w:val="0"/>
          <w:sz w:val="32"/>
          <w:szCs w:val="32"/>
        </w:rPr>
        <w:t>五、审计依据</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（一）建设单位送审的合同书、招投标文件、结算书、竣工验收证明等有关资料；</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（二）国家和深圳市颁布的建设工程造价审计法规和有关建筑规范；</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b w:val="0"/>
          <w:bCs w:val="0"/>
          <w:sz w:val="32"/>
          <w:szCs w:val="32"/>
        </w:rPr>
        <w:t>（三）《深圳明德实验学校开办费预算表》（小初).</w:t>
      </w:r>
    </w:p>
    <w:p>
      <w:pPr>
        <w:spacing w:beforeLines="0" w:afterLines="0" w:line="560" w:lineRule="exact"/>
        <w:ind w:right="0"/>
        <w:jc w:val="both"/>
        <w:rPr>
          <w:rFonts w:hint="eastAsia" w:ascii="仿宋_GB2312" w:hAnsi="宋体" w:eastAsia="仿宋_GB2312"/>
          <w:b w:val="0"/>
          <w:bCs w:val="0"/>
          <w:sz w:val="32"/>
          <w:szCs w:val="32"/>
        </w:rPr>
      </w:pPr>
      <w:r>
        <w:rPr>
          <w:rFonts w:hint="eastAsia" w:ascii="仿宋_GB2312" w:hAnsi="宋体" w:eastAsia="仿宋_GB2312"/>
          <w:b w:val="0"/>
          <w:bCs w:val="0"/>
          <w:sz w:val="32"/>
          <w:szCs w:val="32"/>
        </w:rPr>
        <w:t xml:space="preserve">          　             </w:t>
      </w:r>
    </w:p>
    <w:p>
      <w:pPr>
        <w:spacing w:beforeLines="0" w:afterLines="0" w:line="560" w:lineRule="exact"/>
        <w:ind w:right="0"/>
        <w:jc w:val="both"/>
        <w:rPr>
          <w:rFonts w:hint="eastAsia" w:ascii="仿宋_GB2312" w:hAnsi="宋体" w:eastAsia="仿宋_GB2312"/>
          <w:b w:val="0"/>
          <w:bCs w:val="0"/>
          <w:sz w:val="32"/>
          <w:szCs w:val="32"/>
        </w:rPr>
      </w:pPr>
    </w:p>
    <w:p>
      <w:pPr>
        <w:spacing w:beforeLines="0" w:afterLines="0" w:line="560" w:lineRule="exact"/>
        <w:ind w:right="0"/>
        <w:jc w:val="both"/>
        <w:rPr>
          <w:rFonts w:hint="eastAsia" w:ascii="仿宋_GB2312" w:hAnsi="宋体" w:eastAsia="仿宋_GB2312"/>
          <w:b w:val="0"/>
          <w:bCs w:val="0"/>
          <w:sz w:val="32"/>
          <w:szCs w:val="32"/>
        </w:rPr>
      </w:pPr>
      <w:r>
        <w:rPr>
          <w:rFonts w:hint="eastAsia" w:ascii="仿宋_GB2312" w:hAnsi="宋体" w:eastAsia="仿宋_GB2312"/>
          <w:b w:val="0"/>
          <w:bCs w:val="0"/>
          <w:sz w:val="32"/>
          <w:szCs w:val="32"/>
        </w:rPr>
        <w:t xml:space="preserve">                           </w:t>
      </w:r>
      <w:r>
        <w:rPr>
          <w:rFonts w:hint="eastAsia" w:ascii="仿宋_GB2312" w:hAnsi="宋体" w:eastAsia="仿宋_GB2312"/>
          <w:b w:val="0"/>
          <w:bCs w:val="0"/>
          <w:sz w:val="32"/>
          <w:szCs w:val="32"/>
          <w:lang w:val="en-US" w:eastAsia="zh-CN"/>
        </w:rPr>
        <w:t xml:space="preserve">            </w:t>
      </w:r>
      <w:r>
        <w:rPr>
          <w:rFonts w:hint="eastAsia" w:ascii="仿宋_GB2312" w:hAnsi="宋体" w:eastAsia="仿宋_GB2312"/>
          <w:b w:val="0"/>
          <w:bCs w:val="0"/>
          <w:sz w:val="32"/>
          <w:szCs w:val="32"/>
        </w:rPr>
        <w:t xml:space="preserve">  福田区审计局</w:t>
      </w:r>
    </w:p>
    <w:p>
      <w:pPr>
        <w:pStyle w:val="2"/>
        <w:spacing w:beforeLines="0" w:afterLines="0" w:line="560" w:lineRule="exact"/>
        <w:ind w:leftChars="0" w:right="0" w:firstLine="5120" w:firstLineChars="1600"/>
        <w:jc w:val="right"/>
        <w:rPr>
          <w:b w:val="0"/>
          <w:bCs w:val="0"/>
          <w:sz w:val="32"/>
          <w:szCs w:val="32"/>
        </w:rPr>
      </w:pPr>
      <w:r>
        <w:rPr>
          <w:rFonts w:ascii="仿宋_GB2312" w:eastAsia="仿宋_GB2312"/>
          <w:b w:val="0"/>
          <w:bCs w:val="0"/>
          <w:sz w:val="32"/>
          <w:szCs w:val="32"/>
        </w:rPr>
        <w:t>2017年</w:t>
      </w:r>
      <w:r>
        <w:rPr>
          <w:rFonts w:hint="eastAsia" w:ascii="仿宋_GB2312" w:eastAsia="仿宋_GB2312"/>
          <w:b w:val="0"/>
          <w:bCs w:val="0"/>
          <w:sz w:val="32"/>
          <w:szCs w:val="32"/>
          <w:lang w:val="en-US" w:eastAsia="zh-CN"/>
        </w:rPr>
        <w:t>11</w:t>
      </w:r>
      <w:r>
        <w:rPr>
          <w:rFonts w:ascii="仿宋_GB2312" w:eastAsia="仿宋_GB2312"/>
          <w:b w:val="0"/>
          <w:bCs w:val="0"/>
          <w:sz w:val="32"/>
          <w:szCs w:val="32"/>
        </w:rPr>
        <w:t>月</w:t>
      </w:r>
      <w:r>
        <w:rPr>
          <w:rFonts w:hint="eastAsia" w:ascii="仿宋_GB2312" w:eastAsia="仿宋_GB2312"/>
          <w:b w:val="0"/>
          <w:bCs w:val="0"/>
          <w:sz w:val="32"/>
          <w:szCs w:val="32"/>
          <w:lang w:val="en-US" w:eastAsia="zh-CN"/>
        </w:rPr>
        <w:t>13</w:t>
      </w:r>
      <w:r>
        <w:rPr>
          <w:rFonts w:ascii="仿宋_GB2312" w:eastAsia="仿宋_GB2312"/>
          <w:b w:val="0"/>
          <w:bCs w:val="0"/>
          <w:sz w:val="32"/>
          <w:szCs w:val="32"/>
        </w:rPr>
        <w:t>日</w:t>
      </w:r>
      <w:r>
        <w:rPr>
          <w:b w:val="0"/>
          <w:bCs w:val="0"/>
          <w:sz w:val="32"/>
          <w:szCs w:val="32"/>
        </w:rPr>
        <w:t xml:space="preserve"> </w:t>
      </w:r>
    </w:p>
    <w:p>
      <w:pPr>
        <w:spacing w:beforeLines="0" w:afterLines="0" w:line="560" w:lineRule="exact"/>
        <w:rPr>
          <w:rFonts w:hint="eastAsia" w:eastAsia="宋体"/>
          <w:b w:val="0"/>
          <w:bCs w:val="0"/>
          <w:sz w:val="32"/>
          <w:szCs w:val="32"/>
          <w:lang w:eastAsia="zh-CN"/>
        </w:rPr>
      </w:pPr>
    </w:p>
    <w:sectPr>
      <w:footerReference r:id="rId5" w:type="default"/>
      <w:pgSz w:w="11906" w:h="16838"/>
      <w:pgMar w:top="2098" w:right="1474" w:bottom="1984" w:left="1587" w:header="851" w:footer="992" w:gutter="0"/>
      <w:paperSrc/>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spacing w:beforeLines="0" w:afterLines="0"/>
                            <w:ind w:left="210" w:leftChars="100" w:right="210" w:rightChars="10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u0qn7b4BAABgAwAADgAAAAAAAAABACAAAAAeAQAAZHJzL2Uyb0RvYy54bWxQSwUGAAAA&#10;AAYABgBZAQAATgUAAAAA&#10;">
              <v:fill on="f" focussize="0,0"/>
              <v:stroke on="f"/>
              <v:imagedata o:title=""/>
              <o:lock v:ext="edit" aspectratio="f"/>
              <v:textbox inset="0mm,0mm,0mm,0mm" style="mso-fit-shape-to-text:t;">
                <w:txbxContent>
                  <w:p>
                    <w:pPr>
                      <w:snapToGrid w:val="0"/>
                      <w:spacing w:beforeLines="0" w:afterLines="0"/>
                      <w:ind w:left="210" w:leftChars="100" w:right="210" w:rightChars="10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FFFFFF" w:sz="6"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hyphenationZone w:val="360"/>
  <w:drawingGridVerticalSpacing w:val="159"/>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2D7649"/>
    <w:rsid w:val="0006717F"/>
    <w:rsid w:val="08CA6574"/>
    <w:rsid w:val="0BD11263"/>
    <w:rsid w:val="0BEF7E6E"/>
    <w:rsid w:val="0F98584B"/>
    <w:rsid w:val="13015DC6"/>
    <w:rsid w:val="139C1AC7"/>
    <w:rsid w:val="1C4B33A9"/>
    <w:rsid w:val="1E463222"/>
    <w:rsid w:val="1F5E7D0A"/>
    <w:rsid w:val="21D23430"/>
    <w:rsid w:val="222D13C7"/>
    <w:rsid w:val="2C917C84"/>
    <w:rsid w:val="336A52EF"/>
    <w:rsid w:val="372D7649"/>
    <w:rsid w:val="3B21284B"/>
    <w:rsid w:val="3C0E39F8"/>
    <w:rsid w:val="42071BA9"/>
    <w:rsid w:val="4B375019"/>
    <w:rsid w:val="592D2EA9"/>
    <w:rsid w:val="59B45B5F"/>
    <w:rsid w:val="5B5B3DE3"/>
    <w:rsid w:val="5E055953"/>
    <w:rsid w:val="5EB2553A"/>
    <w:rsid w:val="6A2D47C5"/>
    <w:rsid w:val="6BBE7D68"/>
    <w:rsid w:val="6C5171BA"/>
    <w:rsid w:val="6D4E17D6"/>
    <w:rsid w:val="6D8B3840"/>
    <w:rsid w:val="763F11FF"/>
    <w:rsid w:val="7A6C5EC1"/>
    <w:rsid w:val="7D843F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5">
    <w:name w:val="Default Paragraph Font"/>
    <w:unhideWhenUsed/>
    <w:uiPriority w:val="0"/>
  </w:style>
  <w:style w:type="table" w:default="1" w:styleId="7">
    <w:name w:val="Normal Table"/>
    <w:unhideWhenUsed/>
    <w:uiPriority w:val="99"/>
    <w:tblPr>
      <w:tblStyle w:val="7"/>
      <w:tblLayout w:type="fixed"/>
      <w:tblCellMar>
        <w:top w:w="0" w:type="dxa"/>
        <w:left w:w="108" w:type="dxa"/>
        <w:bottom w:w="0" w:type="dxa"/>
        <w:right w:w="108" w:type="dxa"/>
      </w:tblCellMar>
    </w:tblPr>
  </w:style>
  <w:style w:type="paragraph" w:styleId="2">
    <w:name w:val="Date"/>
    <w:basedOn w:val="1"/>
    <w:next w:val="1"/>
    <w:unhideWhenUsed/>
    <w:uiPriority w:val="99"/>
    <w:pPr>
      <w:ind w:leftChars="2500"/>
    </w:pPr>
    <w:rPr>
      <w:rFonts w:hint="eastAsia" w:ascii="宋体" w:hAnsi="宋体"/>
      <w:sz w:val="28"/>
    </w:rPr>
  </w:style>
  <w:style w:type="paragraph" w:styleId="3">
    <w:name w:val="footer"/>
    <w:basedOn w:val="1"/>
    <w:unhideWhenUsed/>
    <w:uiPriority w:val="0"/>
    <w:pPr>
      <w:tabs>
        <w:tab w:val="center" w:pos="4153"/>
        <w:tab w:val="right" w:pos="8306"/>
      </w:tabs>
      <w:snapToGrid w:val="0"/>
      <w:jc w:val="left"/>
    </w:pPr>
    <w:rPr>
      <w:sz w:val="18"/>
      <w:szCs w:val="18"/>
    </w:rPr>
  </w:style>
  <w:style w:type="paragraph" w:styleId="4">
    <w:name w:val="header"/>
    <w:basedOn w:val="1"/>
    <w:unhideWhenUsed/>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2017-11-06T03:30:00Z</dcterms:created>
  <dc:creator>yeyoufang</dc:creator>
  <cp:lastModifiedBy>刘瑞霞</cp:lastModifiedBy>
  <dcterms:modified xsi:type="dcterms:W3CDTF">2018-03-05T02:43:06Z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