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560" w:lineRule="exact"/>
        <w:ind w:firstLine="660" w:firstLineChars="150"/>
        <w:jc w:val="center"/>
        <w:rPr>
          <w:rFonts w:ascii="仿宋_GB2312"/>
          <w:color w:val="auto"/>
          <w:sz w:val="32"/>
          <w:szCs w:val="32"/>
        </w:rPr>
      </w:pPr>
      <w:bookmarkStart w:id="8" w:name="_GoBack"/>
      <w:bookmarkStart w:id="0" w:name="_Toc9704"/>
      <w:bookmarkStart w:id="1" w:name="_Toc32243"/>
      <w:bookmarkStart w:id="2" w:name="_Toc11161"/>
      <w:bookmarkStart w:id="3" w:name="_Toc503777537"/>
      <w:bookmarkStart w:id="4" w:name="_Toc26454"/>
      <w:bookmarkStart w:id="5" w:name="_Toc29256"/>
      <w:bookmarkStart w:id="6" w:name="_Toc17236"/>
      <w:r>
        <w:rPr>
          <w:rFonts w:hint="eastAsia"/>
          <w:color w:val="auto"/>
          <w:sz w:val="44"/>
          <w:szCs w:val="44"/>
        </w:rPr>
        <w:t>目</w:t>
      </w:r>
      <w:r>
        <w:rPr>
          <w:color w:val="auto"/>
          <w:sz w:val="44"/>
          <w:szCs w:val="44"/>
        </w:rPr>
        <w:t xml:space="preserve"> </w:t>
      </w:r>
      <w:r>
        <w:rPr>
          <w:rFonts w:hint="eastAsia"/>
          <w:color w:val="auto"/>
          <w:sz w:val="44"/>
          <w:szCs w:val="44"/>
        </w:rPr>
        <w:t>录</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一、主要职能</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二、机构编制及交通工具情况</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三、</w:t>
      </w:r>
      <w:r>
        <w:rPr>
          <w:rFonts w:ascii="仿宋_GB2312"/>
          <w:color w:val="auto"/>
          <w:sz w:val="32"/>
          <w:szCs w:val="32"/>
        </w:rPr>
        <w:t>2018</w:t>
      </w:r>
      <w:r>
        <w:rPr>
          <w:rFonts w:hint="eastAsia" w:ascii="仿宋_GB2312"/>
          <w:color w:val="auto"/>
          <w:sz w:val="32"/>
          <w:szCs w:val="32"/>
        </w:rPr>
        <w:t>年度主要工作目标及任务</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四、</w:t>
      </w:r>
      <w:r>
        <w:rPr>
          <w:rFonts w:ascii="仿宋_GB2312"/>
          <w:color w:val="auto"/>
          <w:sz w:val="32"/>
          <w:szCs w:val="32"/>
        </w:rPr>
        <w:t>2018</w:t>
      </w:r>
      <w:r>
        <w:rPr>
          <w:rFonts w:hint="eastAsia" w:ascii="仿宋_GB2312"/>
          <w:color w:val="auto"/>
          <w:sz w:val="32"/>
          <w:szCs w:val="32"/>
        </w:rPr>
        <w:t>年部门预算情况</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五、“三公”经费情况说明</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六、政府采购预算情况</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七、预算绩效管理情况</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八、其他重要事项情况</w:t>
      </w:r>
    </w:p>
    <w:p>
      <w:pPr>
        <w:pStyle w:val="3"/>
        <w:spacing w:line="560" w:lineRule="exact"/>
        <w:ind w:firstLine="480" w:firstLineChars="150"/>
        <w:rPr>
          <w:rFonts w:ascii="仿宋_GB2312"/>
          <w:color w:val="auto"/>
          <w:sz w:val="32"/>
          <w:szCs w:val="32"/>
        </w:rPr>
      </w:pPr>
      <w:r>
        <w:rPr>
          <w:rFonts w:hint="eastAsia" w:ascii="仿宋_GB2312"/>
          <w:color w:val="auto"/>
          <w:sz w:val="32"/>
          <w:szCs w:val="32"/>
        </w:rPr>
        <w:t>九、名词解释</w:t>
      </w:r>
    </w:p>
    <w:p>
      <w:pPr>
        <w:pStyle w:val="2"/>
        <w:spacing w:before="0" w:after="0"/>
        <w:ind w:left="700" w:leftChars="250"/>
        <w:jc w:val="center"/>
        <w:rPr>
          <w:rFonts w:hint="eastAsia" w:ascii="宋体" w:hAnsi="宋体" w:eastAsia="宋体"/>
          <w:b w:val="0"/>
          <w:color w:val="auto"/>
          <w:sz w:val="32"/>
          <w:szCs w:val="32"/>
        </w:rPr>
      </w:pPr>
    </w:p>
    <w:p>
      <w:pPr>
        <w:pStyle w:val="2"/>
        <w:spacing w:before="0" w:after="0"/>
        <w:ind w:left="700" w:leftChars="250"/>
        <w:jc w:val="center"/>
        <w:rPr>
          <w:rFonts w:hint="eastAsia" w:ascii="宋体" w:hAnsi="宋体" w:eastAsia="宋体"/>
          <w:b w:val="0"/>
          <w:color w:val="auto"/>
          <w:sz w:val="32"/>
          <w:szCs w:val="32"/>
        </w:rPr>
      </w:pPr>
    </w:p>
    <w:p>
      <w:pPr>
        <w:pStyle w:val="2"/>
        <w:spacing w:before="0" w:after="0"/>
        <w:ind w:left="700" w:leftChars="250"/>
        <w:jc w:val="center"/>
        <w:rPr>
          <w:rFonts w:hint="eastAsia" w:ascii="宋体" w:hAnsi="宋体" w:eastAsia="宋体"/>
          <w:b w:val="0"/>
          <w:color w:val="auto"/>
          <w:sz w:val="32"/>
          <w:szCs w:val="32"/>
        </w:rPr>
      </w:pPr>
    </w:p>
    <w:p>
      <w:pPr>
        <w:pStyle w:val="2"/>
        <w:spacing w:before="0" w:after="0"/>
        <w:ind w:left="700" w:leftChars="250"/>
        <w:jc w:val="center"/>
        <w:rPr>
          <w:rFonts w:hint="eastAsia" w:ascii="宋体" w:hAnsi="宋体" w:eastAsia="宋体"/>
          <w:b w:val="0"/>
          <w:color w:val="auto"/>
          <w:sz w:val="32"/>
          <w:szCs w:val="32"/>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rPr>
          <w:rFonts w:hint="eastAsia"/>
          <w:color w:val="auto"/>
        </w:rPr>
      </w:pPr>
    </w:p>
    <w:p>
      <w:pPr>
        <w:pStyle w:val="2"/>
        <w:spacing w:before="0" w:after="0"/>
        <w:ind w:left="700" w:leftChars="250"/>
        <w:jc w:val="center"/>
        <w:rPr>
          <w:rFonts w:hint="eastAsia" w:ascii="宋体" w:hAnsi="宋体" w:eastAsia="宋体"/>
          <w:b w:val="0"/>
          <w:color w:val="auto"/>
          <w:sz w:val="32"/>
          <w:szCs w:val="32"/>
        </w:rPr>
      </w:pPr>
      <w:r>
        <w:rPr>
          <w:rFonts w:hint="eastAsia" w:ascii="宋体" w:hAnsi="宋体" w:eastAsia="宋体"/>
          <w:b w:val="0"/>
          <w:color w:val="auto"/>
          <w:sz w:val="32"/>
          <w:szCs w:val="32"/>
        </w:rPr>
        <w:t>福田区文学艺术界联合会</w:t>
      </w:r>
      <w:r>
        <w:rPr>
          <w:rFonts w:ascii="宋体" w:hAnsi="宋体" w:eastAsia="宋体"/>
          <w:b w:val="0"/>
          <w:color w:val="auto"/>
          <w:sz w:val="32"/>
          <w:szCs w:val="32"/>
        </w:rPr>
        <w:t>2018</w:t>
      </w:r>
      <w:r>
        <w:rPr>
          <w:rFonts w:hint="eastAsia" w:ascii="宋体" w:hAnsi="宋体" w:eastAsia="宋体"/>
          <w:b w:val="0"/>
          <w:color w:val="auto"/>
          <w:sz w:val="32"/>
          <w:szCs w:val="32"/>
        </w:rPr>
        <w:t>年度部门预算报告</w:t>
      </w:r>
      <w:bookmarkEnd w:id="0"/>
      <w:bookmarkEnd w:id="1"/>
      <w:bookmarkEnd w:id="2"/>
      <w:bookmarkEnd w:id="3"/>
      <w:bookmarkEnd w:id="4"/>
      <w:bookmarkEnd w:id="5"/>
      <w:bookmarkEnd w:id="6"/>
    </w:p>
    <w:p>
      <w:pPr>
        <w:pStyle w:val="7"/>
        <w:spacing w:line="560" w:lineRule="exact"/>
        <w:ind w:firstLine="422" w:firstLineChars="20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一、主要职能</w:t>
      </w:r>
    </w:p>
    <w:tbl>
      <w:tblPr>
        <w:tblStyle w:val="5"/>
        <w:tblW w:w="10214" w:type="dxa"/>
        <w:tblInd w:w="0" w:type="dxa"/>
        <w:tblLayout w:type="fixed"/>
        <w:tblCellMar>
          <w:top w:w="0" w:type="dxa"/>
          <w:left w:w="108" w:type="dxa"/>
          <w:bottom w:w="0" w:type="dxa"/>
          <w:right w:w="108" w:type="dxa"/>
        </w:tblCellMar>
      </w:tblPr>
      <w:tblGrid>
        <w:gridCol w:w="10214"/>
      </w:tblGrid>
      <w:tr>
        <w:tblPrEx>
          <w:tblLayout w:type="fixed"/>
          <w:tblCellMar>
            <w:top w:w="0" w:type="dxa"/>
            <w:left w:w="108" w:type="dxa"/>
            <w:bottom w:w="0" w:type="dxa"/>
            <w:right w:w="108" w:type="dxa"/>
          </w:tblCellMar>
        </w:tblPrEx>
        <w:trPr>
          <w:trHeight w:val="491" w:hRule="atLeast"/>
        </w:trPr>
        <w:tc>
          <w:tcPr>
            <w:tcW w:w="10214" w:type="dxa"/>
            <w:vAlign w:val="top"/>
          </w:tcPr>
          <w:p>
            <w:pPr>
              <w:pStyle w:val="7"/>
              <w:spacing w:line="560" w:lineRule="exact"/>
              <w:ind w:right="594" w:rightChars="212"/>
              <w:rPr>
                <w:rFonts w:hint="eastAsia" w:ascii="宋体" w:hAnsi="宋体" w:eastAsia="宋体"/>
                <w:color w:val="auto"/>
                <w:kern w:val="0"/>
                <w:sz w:val="21"/>
                <w:szCs w:val="21"/>
              </w:rPr>
            </w:pPr>
            <w:r>
              <w:rPr>
                <w:rFonts w:ascii="宋体" w:hAnsi="宋体" w:eastAsia="宋体"/>
                <w:color w:val="auto"/>
                <w:kern w:val="0"/>
                <w:sz w:val="21"/>
                <w:szCs w:val="21"/>
              </w:rPr>
              <w:t xml:space="preserve">    贯彻执行中央、省、市、区委区政府的文艺方针、政策，充分发挥党和政府联系文艺界的桥梁和纽带作用；负责对各艺术家协会的组织、联络、协调、服务和管理工作；组织文艺工作者和业余爱好者深入社会生活进行艺术创作，开展文艺活动，加强艺术实践和交流；发现和培养文艺人才，不断壮大辖区文艺队伍，为辖区文化建设服务；开展与兄弟市、区（县）文联的协作与交流，开展国际文化交流活动。积极组织和参与区委区政府交办的各种重大节庆和文化活动；繁荣各类文艺创作；开展机关干部艺术培训，丰富机关干部职工业余文化生活</w:t>
            </w:r>
          </w:p>
        </w:tc>
      </w:tr>
    </w:tbl>
    <w:p>
      <w:pPr>
        <w:pStyle w:val="7"/>
        <w:spacing w:line="560" w:lineRule="exact"/>
        <w:ind w:firstLine="422" w:firstLineChars="20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二、机构编制及交通工具情况</w:t>
      </w:r>
    </w:p>
    <w:tbl>
      <w:tblPr>
        <w:tblStyle w:val="5"/>
        <w:tblW w:w="10214" w:type="dxa"/>
        <w:tblInd w:w="0" w:type="dxa"/>
        <w:tblLayout w:type="fixed"/>
        <w:tblCellMar>
          <w:top w:w="0" w:type="dxa"/>
          <w:left w:w="108" w:type="dxa"/>
          <w:bottom w:w="0" w:type="dxa"/>
          <w:right w:w="108" w:type="dxa"/>
        </w:tblCellMar>
      </w:tblPr>
      <w:tblGrid>
        <w:gridCol w:w="10214"/>
      </w:tblGrid>
      <w:tr>
        <w:tblPrEx>
          <w:tblLayout w:type="fixed"/>
          <w:tblCellMar>
            <w:top w:w="0" w:type="dxa"/>
            <w:left w:w="108" w:type="dxa"/>
            <w:bottom w:w="0" w:type="dxa"/>
            <w:right w:w="108" w:type="dxa"/>
          </w:tblCellMar>
        </w:tblPrEx>
        <w:trPr>
          <w:trHeight w:val="491" w:hRule="atLeast"/>
        </w:trPr>
        <w:tc>
          <w:tcPr>
            <w:tcW w:w="10214" w:type="dxa"/>
            <w:vAlign w:val="top"/>
          </w:tcPr>
          <w:p>
            <w:pPr>
              <w:pStyle w:val="7"/>
              <w:spacing w:line="560" w:lineRule="exact"/>
              <w:ind w:right="594" w:rightChars="212"/>
              <w:rPr>
                <w:rFonts w:hint="eastAsia" w:ascii="宋体" w:hAnsi="宋体" w:eastAsia="宋体"/>
                <w:color w:val="auto"/>
                <w:kern w:val="0"/>
                <w:sz w:val="21"/>
                <w:szCs w:val="21"/>
              </w:rPr>
            </w:pPr>
            <w:r>
              <w:rPr>
                <w:rFonts w:ascii="宋体" w:hAnsi="宋体" w:eastAsia="宋体"/>
                <w:color w:val="auto"/>
                <w:kern w:val="0"/>
                <w:sz w:val="21"/>
                <w:szCs w:val="21"/>
              </w:rPr>
              <w:t xml:space="preserve">    本单位编制数6人，编制内实有人数5人，雇员实有人数1人，劳务派遣2人，离退休人员4人，公务用车1辆。</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三、</w:t>
      </w:r>
      <w:r>
        <w:rPr>
          <w:rFonts w:ascii="宋体" w:hAnsi="宋体" w:eastAsia="宋体"/>
          <w:b/>
          <w:bCs/>
          <w:color w:val="auto"/>
          <w:kern w:val="0"/>
          <w:sz w:val="21"/>
          <w:szCs w:val="21"/>
        </w:rPr>
        <w:t>2018</w:t>
      </w:r>
      <w:r>
        <w:rPr>
          <w:rFonts w:hint="eastAsia" w:ascii="宋体" w:hAnsi="宋体" w:eastAsia="宋体"/>
          <w:b/>
          <w:bCs/>
          <w:color w:val="auto"/>
          <w:kern w:val="0"/>
          <w:sz w:val="21"/>
          <w:szCs w:val="21"/>
        </w:rPr>
        <w:t>年度主要工作目标及任务</w:t>
      </w:r>
    </w:p>
    <w:tbl>
      <w:tblPr>
        <w:tblStyle w:val="5"/>
        <w:tblW w:w="9515" w:type="dxa"/>
        <w:tblInd w:w="0" w:type="dxa"/>
        <w:tblLayout w:type="fixed"/>
        <w:tblCellMar>
          <w:top w:w="0" w:type="dxa"/>
          <w:left w:w="108" w:type="dxa"/>
          <w:bottom w:w="0" w:type="dxa"/>
          <w:right w:w="108" w:type="dxa"/>
        </w:tblCellMar>
      </w:tblPr>
      <w:tblGrid>
        <w:gridCol w:w="9515"/>
      </w:tblGrid>
      <w:tr>
        <w:tblPrEx>
          <w:tblLayout w:type="fixed"/>
          <w:tblCellMar>
            <w:top w:w="0" w:type="dxa"/>
            <w:left w:w="108" w:type="dxa"/>
            <w:bottom w:w="0" w:type="dxa"/>
            <w:right w:w="108" w:type="dxa"/>
          </w:tblCellMar>
        </w:tblPrEx>
        <w:trPr>
          <w:trHeight w:val="601" w:hRule="atLeast"/>
        </w:trPr>
        <w:tc>
          <w:tcPr>
            <w:tcW w:w="9515" w:type="dxa"/>
            <w:vAlign w:val="top"/>
          </w:tcPr>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1、组织辖区艺术家深入社会生活进行艺术采风、精品创作活动，创作一批反映福田风貌、环境建设、人文风采等接地气的文艺作品。</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2、围绕区委、区政府中心工作，指导各艺术协会开展各类专项艺术活动。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3、结合重大节庆活动，重点策划反映历史沿革和时代气息的艺术作品展。</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4、总结《村城记》第二期艺术创作工程的经验，开展第三期创作。</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5、开展《福田百景系列工程》创作活动。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6、举办“纪念毛泽东同志诞辰125周年”艺术作品展。</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7、开展文艺评论研究工作。</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8、继续开展第四届“五朵金花”女性峰会论坛活动。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9、继续开展</w:t>
            </w:r>
            <w:r>
              <w:rPr>
                <w:rFonts w:hint="eastAsia" w:ascii="宋体" w:hAnsi="宋体" w:eastAsia="宋体"/>
                <w:color w:val="auto"/>
                <w:kern w:val="0"/>
                <w:sz w:val="21"/>
                <w:szCs w:val="21"/>
              </w:rPr>
              <w:t>第四届“深圳十大佳著”评选及沙龙活动。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10、继续开展福田区文联文艺志愿者《文心行动》之系列活动，组织各协会艺术家送文艺下基层、进社区。开设“与文同乐”社区讲坛、墨韵留香书画笔会等，进一步弘扬中华传统艺术，将“文以载道与文同乐”的核心理念广而告之。</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 xml:space="preserve">11、以画院为平台，继续深化开展四季展览活动。 </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12、以画院为平台，继续开展四场名家笔会交流活动。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13、建立福田区文联微信公众号。</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14、、组织第七届“关爱满福田</w:t>
            </w:r>
            <w:r>
              <w:rPr>
                <w:rFonts w:hint="eastAsia" w:ascii="宋体" w:hAnsi="宋体" w:eastAsia="宋体" w:cs="宋体"/>
                <w:color w:val="auto"/>
                <w:kern w:val="0"/>
                <w:sz w:val="21"/>
                <w:szCs w:val="21"/>
              </w:rPr>
              <w:t>·</w:t>
            </w:r>
            <w:r>
              <w:rPr>
                <w:rFonts w:ascii="宋体" w:hAnsi="宋体" w:eastAsia="宋体"/>
                <w:color w:val="auto"/>
                <w:kern w:val="0"/>
                <w:sz w:val="21"/>
                <w:szCs w:val="21"/>
              </w:rPr>
              <w:t>幸福进万家”百名书法家送春联下基层、进社区惠民活动。</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15、继续办好《莲花山》、《南国艺术》</w:t>
            </w:r>
            <w:r>
              <w:rPr>
                <w:rFonts w:hint="eastAsia" w:ascii="宋体" w:hAnsi="宋体" w:eastAsia="宋体"/>
                <w:color w:val="auto"/>
                <w:kern w:val="0"/>
                <w:sz w:val="21"/>
                <w:szCs w:val="21"/>
              </w:rPr>
              <w:t>两本刊物。</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16、、继续举办2018年机关干部艺术培训班并举办学员作品展。</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17、组织艺术家深入生活进行采风、写生、培训、观摩等活动，为艺术创作积累素材、激发创作灵感，多出精品，多出人才；</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18、加强各艺术协会建设，做好协调服务工作，组织各艺术协会开展文艺下基层、进社区活动，举办各类笔会、赠书、辅导活动，开展各类文化交流活动；</w:t>
            </w:r>
          </w:p>
          <w:p>
            <w:pPr>
              <w:pStyle w:val="7"/>
              <w:spacing w:line="560" w:lineRule="exact"/>
              <w:ind w:firstLine="420" w:firstLineChars="200"/>
              <w:rPr>
                <w:rFonts w:hint="eastAsia" w:ascii="宋体" w:hAnsi="宋体" w:eastAsia="宋体"/>
                <w:color w:val="auto"/>
                <w:kern w:val="0"/>
                <w:sz w:val="21"/>
                <w:szCs w:val="21"/>
              </w:rPr>
            </w:pPr>
            <w:r>
              <w:rPr>
                <w:rFonts w:ascii="宋体" w:hAnsi="宋体" w:eastAsia="宋体"/>
                <w:color w:val="auto"/>
                <w:kern w:val="0"/>
                <w:sz w:val="21"/>
                <w:szCs w:val="21"/>
              </w:rPr>
              <w:t>19 、完成区委、区政府交办的各项临时工作。</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四、</w:t>
      </w:r>
      <w:r>
        <w:rPr>
          <w:rFonts w:ascii="宋体" w:hAnsi="宋体" w:eastAsia="宋体"/>
          <w:b/>
          <w:bCs/>
          <w:color w:val="auto"/>
          <w:kern w:val="0"/>
          <w:sz w:val="21"/>
          <w:szCs w:val="21"/>
        </w:rPr>
        <w:t>2018</w:t>
      </w:r>
      <w:r>
        <w:rPr>
          <w:rFonts w:hint="eastAsia" w:ascii="宋体" w:hAnsi="宋体" w:eastAsia="宋体"/>
          <w:b/>
          <w:bCs/>
          <w:color w:val="auto"/>
          <w:kern w:val="0"/>
          <w:sz w:val="21"/>
          <w:szCs w:val="21"/>
        </w:rPr>
        <w:t>年部门预算情况</w:t>
      </w:r>
    </w:p>
    <w:tbl>
      <w:tblPr>
        <w:tblStyle w:val="5"/>
        <w:tblW w:w="9594" w:type="dxa"/>
        <w:tblInd w:w="0" w:type="dxa"/>
        <w:tblLayout w:type="fixed"/>
        <w:tblCellMar>
          <w:top w:w="0" w:type="dxa"/>
          <w:left w:w="108" w:type="dxa"/>
          <w:bottom w:w="0" w:type="dxa"/>
          <w:right w:w="108" w:type="dxa"/>
        </w:tblCellMar>
      </w:tblPr>
      <w:tblGrid>
        <w:gridCol w:w="9594"/>
      </w:tblGrid>
      <w:tr>
        <w:tblPrEx>
          <w:tblLayout w:type="fixed"/>
          <w:tblCellMar>
            <w:top w:w="0" w:type="dxa"/>
            <w:left w:w="108" w:type="dxa"/>
            <w:bottom w:w="0" w:type="dxa"/>
            <w:right w:w="108" w:type="dxa"/>
          </w:tblCellMar>
        </w:tblPrEx>
        <w:tc>
          <w:tcPr>
            <w:tcW w:w="9594" w:type="dxa"/>
            <w:vAlign w:val="top"/>
          </w:tcPr>
          <w:p>
            <w:pPr>
              <w:pStyle w:val="7"/>
              <w:spacing w:line="560" w:lineRule="exact"/>
              <w:ind w:firstLine="420"/>
              <w:rPr>
                <w:rFonts w:ascii="宋体" w:hAnsi="宋体" w:eastAsia="宋体"/>
                <w:color w:val="auto"/>
                <w:kern w:val="0"/>
                <w:sz w:val="21"/>
                <w:szCs w:val="21"/>
              </w:rPr>
            </w:pPr>
            <w:r>
              <w:rPr>
                <w:rFonts w:ascii="宋体" w:hAnsi="宋体" w:eastAsia="宋体"/>
                <w:color w:val="auto"/>
                <w:kern w:val="0"/>
                <w:sz w:val="21"/>
                <w:szCs w:val="21"/>
              </w:rPr>
              <w:t>2018年本单位部门预算规模为824.45万元，其中一般公共预算拨款824.45万元，比2017年694.08万元增加130.37万元</w:t>
            </w:r>
            <w:r>
              <w:rPr>
                <w:rFonts w:hint="eastAsia" w:ascii="宋体" w:hAnsi="宋体" w:eastAsia="宋体"/>
                <w:color w:val="auto"/>
                <w:kern w:val="0"/>
                <w:sz w:val="21"/>
                <w:szCs w:val="21"/>
              </w:rPr>
              <w:t>，增加18.78%。主要增加原因养老保险改革和住房公积金制度改革导致支出有所增加。</w:t>
            </w:r>
            <w:r>
              <w:rPr>
                <w:rFonts w:ascii="宋体" w:hAnsi="宋体" w:eastAsia="宋体"/>
                <w:color w:val="auto"/>
                <w:kern w:val="0"/>
                <w:sz w:val="21"/>
                <w:szCs w:val="21"/>
              </w:rPr>
              <w:t>基金预算0万元</w:t>
            </w:r>
            <w:r>
              <w:rPr>
                <w:rFonts w:hint="eastAsia" w:ascii="宋体" w:hAnsi="宋体" w:eastAsia="宋体"/>
                <w:color w:val="auto"/>
                <w:kern w:val="0"/>
                <w:sz w:val="21"/>
                <w:szCs w:val="21"/>
              </w:rPr>
              <w:t>，与2017年持平。具体包括：</w:t>
            </w:r>
            <w:r>
              <w:rPr>
                <w:rFonts w:ascii="宋体" w:hAnsi="宋体" w:eastAsia="宋体"/>
                <w:color w:val="auto"/>
                <w:kern w:val="0"/>
                <w:sz w:val="21"/>
                <w:szCs w:val="21"/>
              </w:rPr>
              <w:t xml:space="preserve"> </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（一）基本支出</w:t>
            </w:r>
            <w:r>
              <w:rPr>
                <w:rFonts w:ascii="宋体" w:hAnsi="宋体" w:eastAsia="宋体"/>
                <w:color w:val="auto"/>
                <w:kern w:val="0"/>
                <w:sz w:val="21"/>
                <w:szCs w:val="21"/>
              </w:rPr>
              <w:t>299.69万元。具体支出内容如下：</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1、人员经费支出211.87万元，主要是在职人员工资福利支出。</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 xml:space="preserve">2、离退休经费支出75.58万元，主要是离退休人员工资福利支出。 </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3、公用经费12.24万元，主要包括公务用车运行维护费、工会经费、职工福利费、办公费、邮寄费、维护费等支出。</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（二）项目支出</w:t>
            </w:r>
            <w:r>
              <w:rPr>
                <w:rFonts w:ascii="宋体" w:hAnsi="宋体" w:eastAsia="宋体"/>
                <w:color w:val="auto"/>
                <w:kern w:val="0"/>
                <w:sz w:val="21"/>
                <w:szCs w:val="21"/>
              </w:rPr>
              <w:t>524.76万元。具体支出内容如下：</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1、购置费支出2.4万元</w:t>
            </w:r>
            <w:r>
              <w:rPr>
                <w:rFonts w:hint="eastAsia" w:ascii="宋体" w:hAnsi="宋体" w:eastAsia="宋体"/>
                <w:color w:val="auto"/>
                <w:kern w:val="0"/>
                <w:sz w:val="21"/>
                <w:szCs w:val="21"/>
              </w:rPr>
              <w:t>，</w:t>
            </w:r>
            <w:r>
              <w:rPr>
                <w:rFonts w:ascii="宋体" w:hAnsi="宋体" w:eastAsia="宋体"/>
                <w:color w:val="auto"/>
                <w:kern w:val="0"/>
                <w:sz w:val="21"/>
                <w:szCs w:val="21"/>
              </w:rPr>
              <w:t>全部为政府采购项目。主要用于购置掌上电脑。政府采购项目具体如下：</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w:t>
            </w:r>
            <w:r>
              <w:rPr>
                <w:rFonts w:ascii="宋体" w:hAnsi="宋体" w:eastAsia="宋体"/>
                <w:color w:val="auto"/>
                <w:kern w:val="0"/>
                <w:sz w:val="21"/>
                <w:szCs w:val="21"/>
              </w:rPr>
              <w:t>1）办公自动化设备2.4万元，主要用于掌上电脑8台（3000元/台）。</w:t>
            </w:r>
          </w:p>
          <w:p>
            <w:pPr>
              <w:pStyle w:val="7"/>
              <w:spacing w:line="560" w:lineRule="exact"/>
              <w:ind w:firstLine="420" w:firstLineChars="200"/>
              <w:rPr>
                <w:rFonts w:ascii="宋体" w:hAnsi="宋体" w:eastAsia="宋体"/>
                <w:color w:val="auto"/>
                <w:kern w:val="0"/>
                <w:sz w:val="21"/>
                <w:szCs w:val="21"/>
              </w:rPr>
            </w:pPr>
            <w:r>
              <w:rPr>
                <w:rFonts w:ascii="宋体" w:hAnsi="宋体" w:eastAsia="宋体"/>
                <w:color w:val="auto"/>
                <w:kern w:val="0"/>
                <w:sz w:val="21"/>
                <w:szCs w:val="21"/>
              </w:rPr>
              <w:t>2、业务费支出5</w:t>
            </w:r>
            <w:r>
              <w:rPr>
                <w:rFonts w:hint="eastAsia" w:ascii="宋体" w:hAnsi="宋体" w:eastAsia="宋体"/>
                <w:color w:val="auto"/>
                <w:kern w:val="0"/>
                <w:sz w:val="21"/>
                <w:szCs w:val="21"/>
              </w:rPr>
              <w:t>17</w:t>
            </w:r>
            <w:r>
              <w:rPr>
                <w:rFonts w:ascii="宋体" w:hAnsi="宋体" w:eastAsia="宋体"/>
                <w:color w:val="auto"/>
                <w:kern w:val="0"/>
                <w:sz w:val="21"/>
                <w:szCs w:val="21"/>
              </w:rPr>
              <w:t>.36万元，主要内容有：一般管理事务、文艺创作与活动、文艺交流</w:t>
            </w:r>
            <w:r>
              <w:rPr>
                <w:rFonts w:hint="eastAsia" w:ascii="宋体" w:hAnsi="宋体" w:eastAsia="宋体"/>
                <w:color w:val="auto"/>
                <w:kern w:val="0"/>
                <w:sz w:val="21"/>
                <w:szCs w:val="21"/>
              </w:rPr>
              <w:t>与培训、文艺建设与管理。</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w:t>
            </w:r>
            <w:r>
              <w:rPr>
                <w:rFonts w:ascii="宋体" w:hAnsi="宋体" w:eastAsia="宋体"/>
                <w:color w:val="auto"/>
                <w:kern w:val="0"/>
                <w:sz w:val="21"/>
                <w:szCs w:val="21"/>
              </w:rPr>
              <w:t>1）一般管理事务162.36万元，主要包括劳务派遣费、订阅书报杂志、公务交通补贴等。</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w:t>
            </w:r>
            <w:r>
              <w:rPr>
                <w:rFonts w:ascii="宋体" w:hAnsi="宋体" w:eastAsia="宋体"/>
                <w:color w:val="auto"/>
                <w:kern w:val="0"/>
                <w:sz w:val="21"/>
                <w:szCs w:val="21"/>
              </w:rPr>
              <w:t>2）文艺创作与活动215万元，主要包括：艺术专题创作，艺术采风，文艺评论等经费。</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w:t>
            </w:r>
            <w:r>
              <w:rPr>
                <w:rFonts w:ascii="宋体" w:hAnsi="宋体" w:eastAsia="宋体"/>
                <w:color w:val="auto"/>
                <w:kern w:val="0"/>
                <w:sz w:val="21"/>
                <w:szCs w:val="21"/>
              </w:rPr>
              <w:t>3）文艺交流与培训66万元，主要包括：文艺培训、艺术展览、文心行动等经费。</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w:t>
            </w:r>
            <w:r>
              <w:rPr>
                <w:rFonts w:ascii="宋体" w:hAnsi="宋体" w:eastAsia="宋体"/>
                <w:color w:val="auto"/>
                <w:kern w:val="0"/>
                <w:sz w:val="21"/>
                <w:szCs w:val="21"/>
              </w:rPr>
              <w:t>4）文艺建设与管理74万元，主要包括：协会及画院的组织建设管理、精品收藏、网上文联等经费。</w:t>
            </w:r>
          </w:p>
          <w:p>
            <w:pPr>
              <w:pStyle w:val="7"/>
              <w:spacing w:line="560" w:lineRule="exact"/>
              <w:ind w:firstLine="420" w:firstLineChars="200"/>
              <w:rPr>
                <w:rFonts w:hint="eastAsia" w:ascii="宋体" w:hAnsi="宋体" w:eastAsia="宋体"/>
                <w:color w:val="auto"/>
                <w:kern w:val="0"/>
                <w:sz w:val="21"/>
                <w:szCs w:val="21"/>
              </w:rPr>
            </w:pPr>
            <w:r>
              <w:rPr>
                <w:rFonts w:hint="eastAsia" w:ascii="宋体" w:hAnsi="宋体" w:eastAsia="宋体"/>
                <w:color w:val="auto"/>
                <w:kern w:val="0"/>
                <w:sz w:val="21"/>
                <w:szCs w:val="21"/>
              </w:rPr>
              <w:t>3</w:t>
            </w:r>
            <w:r>
              <w:rPr>
                <w:rFonts w:ascii="宋体" w:hAnsi="宋体" w:eastAsia="宋体"/>
                <w:color w:val="auto"/>
                <w:kern w:val="0"/>
                <w:sz w:val="21"/>
                <w:szCs w:val="21"/>
              </w:rPr>
              <w:t>、预算准备金5万元，主要用于年度预算中不可预见的政策性支出等，按照项目支出的5%以内的规模预留。</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五、“三公”经费情况说明</w:t>
      </w:r>
    </w:p>
    <w:tbl>
      <w:tblPr>
        <w:tblStyle w:val="5"/>
        <w:tblW w:w="9594" w:type="dxa"/>
        <w:tblInd w:w="0" w:type="dxa"/>
        <w:tblLayout w:type="fixed"/>
        <w:tblCellMar>
          <w:top w:w="0" w:type="dxa"/>
          <w:left w:w="108" w:type="dxa"/>
          <w:bottom w:w="0" w:type="dxa"/>
          <w:right w:w="108" w:type="dxa"/>
        </w:tblCellMar>
      </w:tblPr>
      <w:tblGrid>
        <w:gridCol w:w="9594"/>
      </w:tblGrid>
      <w:tr>
        <w:tblPrEx>
          <w:tblLayout w:type="fixed"/>
          <w:tblCellMar>
            <w:top w:w="0" w:type="dxa"/>
            <w:left w:w="108" w:type="dxa"/>
            <w:bottom w:w="0" w:type="dxa"/>
            <w:right w:w="108" w:type="dxa"/>
          </w:tblCellMar>
        </w:tblPrEx>
        <w:tc>
          <w:tcPr>
            <w:tcW w:w="9594" w:type="dxa"/>
            <w:vAlign w:val="top"/>
          </w:tcPr>
          <w:p>
            <w:pPr>
              <w:pStyle w:val="7"/>
              <w:spacing w:line="560" w:lineRule="exact"/>
              <w:rPr>
                <w:rFonts w:ascii="宋体" w:hAnsi="宋体" w:eastAsia="宋体"/>
                <w:color w:val="auto"/>
                <w:kern w:val="0"/>
                <w:sz w:val="21"/>
                <w:szCs w:val="21"/>
              </w:rPr>
            </w:pPr>
            <w:r>
              <w:rPr>
                <w:rFonts w:ascii="宋体" w:hAnsi="宋体" w:eastAsia="宋体"/>
                <w:color w:val="auto"/>
                <w:kern w:val="0"/>
                <w:sz w:val="21"/>
                <w:szCs w:val="21"/>
              </w:rPr>
              <w:t xml:space="preserve">     2018年“三公”经费预算3.9万元，与2017年“三公”经费预算持平。 </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（一）因公出国（境）费用。</w:t>
            </w:r>
            <w:r>
              <w:rPr>
                <w:rFonts w:ascii="宋体" w:hAnsi="宋体" w:eastAsia="宋体"/>
                <w:color w:val="auto"/>
                <w:kern w:val="0"/>
                <w:sz w:val="21"/>
                <w:szCs w:val="21"/>
              </w:rPr>
              <w:t>2018年预算数0万元，与2017年持平。为进一步规范因公出国（境）经费管理，我区因公出国（境）经费完全按零基预算的原则由区外事办和财政局统筹管理，调配使用，因此各单位2018年因公出国（境）经费预算数为零，在实际执行中根据计划据实调配。</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（二）公务接待费。</w:t>
            </w:r>
            <w:r>
              <w:rPr>
                <w:rFonts w:ascii="宋体" w:hAnsi="宋体" w:eastAsia="宋体"/>
                <w:color w:val="auto"/>
                <w:kern w:val="0"/>
                <w:sz w:val="21"/>
                <w:szCs w:val="21"/>
              </w:rPr>
              <w:t>2018年预算数0万元，与2017年持平。</w:t>
            </w:r>
          </w:p>
          <w:p>
            <w:pPr>
              <w:pStyle w:val="7"/>
              <w:spacing w:line="560" w:lineRule="exact"/>
              <w:ind w:firstLine="420" w:firstLineChars="200"/>
              <w:rPr>
                <w:rFonts w:hint="eastAsia" w:ascii="宋体" w:hAnsi="宋体" w:eastAsia="宋体"/>
                <w:color w:val="auto"/>
                <w:kern w:val="0"/>
                <w:sz w:val="21"/>
                <w:szCs w:val="21"/>
              </w:rPr>
            </w:pPr>
            <w:r>
              <w:rPr>
                <w:rFonts w:hint="eastAsia" w:ascii="宋体" w:hAnsi="宋体" w:eastAsia="宋体"/>
                <w:color w:val="auto"/>
                <w:kern w:val="0"/>
                <w:sz w:val="21"/>
                <w:szCs w:val="21"/>
              </w:rPr>
              <w:t>（三）公务用车购置和运行维护费。</w:t>
            </w:r>
            <w:r>
              <w:rPr>
                <w:rFonts w:ascii="宋体" w:hAnsi="宋体" w:eastAsia="宋体"/>
                <w:color w:val="auto"/>
                <w:kern w:val="0"/>
                <w:sz w:val="21"/>
                <w:szCs w:val="21"/>
              </w:rPr>
              <w:t>2018年预算数3.9万元，其中：公务用车</w:t>
            </w:r>
            <w:r>
              <w:rPr>
                <w:rFonts w:hint="eastAsia" w:ascii="宋体" w:hAnsi="宋体" w:eastAsia="宋体"/>
                <w:color w:val="auto"/>
                <w:kern w:val="0"/>
                <w:sz w:val="21"/>
                <w:szCs w:val="21"/>
              </w:rPr>
              <w:t>购置费2018年预算数0万元，与2017年持平。我单位公务车1台，公务用车运行维护费2018年预算数3.9万元，与2017年持平。主要用于本单位的文艺活动及文艺交流等业务活动开支的公务用车运行支出。</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六、政府采购预算情况</w:t>
      </w:r>
    </w:p>
    <w:tbl>
      <w:tblPr>
        <w:tblStyle w:val="5"/>
        <w:tblW w:w="9594" w:type="dxa"/>
        <w:tblInd w:w="0" w:type="dxa"/>
        <w:tblLayout w:type="fixed"/>
        <w:tblCellMar>
          <w:top w:w="0" w:type="dxa"/>
          <w:left w:w="108" w:type="dxa"/>
          <w:bottom w:w="0" w:type="dxa"/>
          <w:right w:w="108" w:type="dxa"/>
        </w:tblCellMar>
      </w:tblPr>
      <w:tblGrid>
        <w:gridCol w:w="9594"/>
      </w:tblGrid>
      <w:tr>
        <w:tblPrEx>
          <w:tblLayout w:type="fixed"/>
          <w:tblCellMar>
            <w:top w:w="0" w:type="dxa"/>
            <w:left w:w="108" w:type="dxa"/>
            <w:bottom w:w="0" w:type="dxa"/>
            <w:right w:w="108" w:type="dxa"/>
          </w:tblCellMar>
        </w:tblPrEx>
        <w:tc>
          <w:tcPr>
            <w:tcW w:w="9594" w:type="dxa"/>
            <w:vAlign w:val="top"/>
          </w:tcPr>
          <w:p>
            <w:pPr>
              <w:pStyle w:val="7"/>
              <w:spacing w:line="560" w:lineRule="exact"/>
              <w:rPr>
                <w:rFonts w:hint="eastAsia" w:ascii="宋体" w:hAnsi="宋体" w:eastAsia="宋体"/>
                <w:color w:val="auto"/>
                <w:kern w:val="0"/>
                <w:sz w:val="21"/>
                <w:szCs w:val="21"/>
              </w:rPr>
            </w:pPr>
            <w:r>
              <w:rPr>
                <w:rFonts w:ascii="宋体" w:hAnsi="宋体" w:eastAsia="宋体"/>
                <w:color w:val="auto"/>
                <w:kern w:val="0"/>
                <w:sz w:val="21"/>
                <w:szCs w:val="21"/>
              </w:rPr>
              <w:t xml:space="preserve">    2018年</w:t>
            </w:r>
            <w:r>
              <w:rPr>
                <w:rFonts w:hint="eastAsia" w:ascii="宋体" w:hAnsi="宋体" w:eastAsia="宋体"/>
                <w:color w:val="auto"/>
                <w:kern w:val="0"/>
                <w:sz w:val="21"/>
                <w:szCs w:val="21"/>
              </w:rPr>
              <w:t>我单位政府采购预算总额23,308万元，其中：</w:t>
            </w:r>
            <w:r>
              <w:rPr>
                <w:rFonts w:ascii="宋体" w:hAnsi="宋体" w:eastAsia="宋体"/>
                <w:color w:val="auto"/>
                <w:kern w:val="0"/>
                <w:sz w:val="21"/>
                <w:szCs w:val="21"/>
              </w:rPr>
              <w:t>政府采购</w:t>
            </w:r>
            <w:r>
              <w:rPr>
                <w:rFonts w:hint="eastAsia" w:ascii="宋体" w:hAnsi="宋体" w:eastAsia="宋体"/>
                <w:color w:val="auto"/>
                <w:kern w:val="0"/>
                <w:sz w:val="21"/>
                <w:szCs w:val="21"/>
              </w:rPr>
              <w:t>货物预算2.4万元、政府采购服务预算20,908</w:t>
            </w:r>
            <w:r>
              <w:rPr>
                <w:rFonts w:ascii="宋体" w:hAnsi="宋体" w:eastAsia="宋体"/>
                <w:color w:val="auto"/>
                <w:kern w:val="0"/>
                <w:sz w:val="21"/>
                <w:szCs w:val="21"/>
              </w:rPr>
              <w:t>万元。</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七、预算绩效管理情况</w:t>
      </w:r>
    </w:p>
    <w:tbl>
      <w:tblPr>
        <w:tblStyle w:val="6"/>
        <w:tblW w:w="959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5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9594" w:type="dxa"/>
            <w:vAlign w:val="top"/>
          </w:tcPr>
          <w:p>
            <w:pPr>
              <w:pStyle w:val="7"/>
              <w:spacing w:line="560" w:lineRule="exact"/>
              <w:ind w:firstLine="420" w:firstLineChars="200"/>
              <w:rPr>
                <w:rFonts w:hint="eastAsia" w:ascii="宋体" w:hAnsi="宋体" w:eastAsia="宋体"/>
                <w:color w:val="auto"/>
                <w:kern w:val="0"/>
                <w:sz w:val="21"/>
                <w:szCs w:val="21"/>
              </w:rPr>
            </w:pPr>
            <w:bookmarkStart w:id="7" w:name="ysjxglqk_info"/>
            <w:bookmarkEnd w:id="7"/>
            <w:r>
              <w:rPr>
                <w:rFonts w:hint="eastAsia" w:ascii="宋体" w:hAnsi="宋体" w:eastAsia="宋体"/>
                <w:color w:val="auto"/>
                <w:kern w:val="0"/>
                <w:sz w:val="21"/>
                <w:szCs w:val="21"/>
              </w:rPr>
              <w:t>我单位</w:t>
            </w:r>
            <w:r>
              <w:rPr>
                <w:rFonts w:ascii="宋体" w:hAnsi="宋体" w:eastAsia="宋体"/>
                <w:color w:val="auto"/>
                <w:kern w:val="0"/>
                <w:sz w:val="21"/>
                <w:szCs w:val="21"/>
              </w:rPr>
              <w:t>2018</w:t>
            </w:r>
            <w:r>
              <w:rPr>
                <w:rFonts w:hint="eastAsia" w:ascii="宋体" w:hAnsi="宋体" w:eastAsia="宋体"/>
                <w:color w:val="auto"/>
                <w:kern w:val="0"/>
                <w:sz w:val="21"/>
                <w:szCs w:val="21"/>
              </w:rPr>
              <w:t>年纳入绩效自评的项目</w:t>
            </w:r>
            <w:r>
              <w:rPr>
                <w:rFonts w:ascii="宋体" w:hAnsi="宋体" w:eastAsia="宋体"/>
                <w:color w:val="auto"/>
                <w:kern w:val="0"/>
                <w:sz w:val="21"/>
                <w:szCs w:val="21"/>
              </w:rPr>
              <w:t>2</w:t>
            </w:r>
            <w:r>
              <w:rPr>
                <w:rFonts w:hint="eastAsia" w:ascii="宋体" w:hAnsi="宋体" w:eastAsia="宋体"/>
                <w:color w:val="auto"/>
                <w:kern w:val="0"/>
                <w:sz w:val="21"/>
                <w:szCs w:val="21"/>
              </w:rPr>
              <w:t>个，金额281万元。①</w:t>
            </w:r>
            <w:r>
              <w:rPr>
                <w:rFonts w:ascii="宋体" w:hAnsi="宋体" w:eastAsia="宋体"/>
                <w:color w:val="auto"/>
                <w:kern w:val="0"/>
                <w:sz w:val="21"/>
                <w:szCs w:val="21"/>
              </w:rPr>
              <w:t>文艺创作与活动215万元</w:t>
            </w:r>
            <w:r>
              <w:rPr>
                <w:rFonts w:hint="eastAsia" w:ascii="宋体" w:hAnsi="宋体" w:eastAsia="宋体"/>
                <w:color w:val="auto"/>
                <w:kern w:val="0"/>
                <w:sz w:val="21"/>
                <w:szCs w:val="21"/>
              </w:rPr>
              <w:t>，主要是</w:t>
            </w:r>
            <w:r>
              <w:rPr>
                <w:rFonts w:ascii="宋体" w:hAnsi="宋体" w:eastAsia="宋体"/>
                <w:color w:val="auto"/>
                <w:kern w:val="0"/>
                <w:sz w:val="21"/>
                <w:szCs w:val="21"/>
              </w:rPr>
              <w:t>组织文艺工作者和业余爱好者深入社会生活进行艺术创作，开展文艺活动</w:t>
            </w:r>
            <w:r>
              <w:rPr>
                <w:rFonts w:hint="eastAsia" w:ascii="宋体" w:hAnsi="宋体" w:eastAsia="宋体"/>
                <w:color w:val="auto"/>
                <w:kern w:val="0"/>
                <w:sz w:val="21"/>
                <w:szCs w:val="21"/>
              </w:rPr>
              <w:t>；②</w:t>
            </w:r>
            <w:r>
              <w:rPr>
                <w:rFonts w:ascii="宋体" w:hAnsi="宋体" w:eastAsia="宋体"/>
                <w:color w:val="auto"/>
                <w:kern w:val="0"/>
                <w:sz w:val="21"/>
                <w:szCs w:val="21"/>
              </w:rPr>
              <w:t>文艺交流与培训66万元</w:t>
            </w:r>
            <w:r>
              <w:rPr>
                <w:rFonts w:hint="eastAsia" w:ascii="宋体" w:hAnsi="宋体" w:eastAsia="宋体"/>
                <w:color w:val="auto"/>
                <w:kern w:val="0"/>
                <w:sz w:val="21"/>
                <w:szCs w:val="21"/>
              </w:rPr>
              <w:t>，主要是</w:t>
            </w:r>
            <w:r>
              <w:rPr>
                <w:rFonts w:ascii="宋体" w:hAnsi="宋体" w:eastAsia="宋体"/>
                <w:color w:val="auto"/>
                <w:kern w:val="0"/>
                <w:sz w:val="21"/>
                <w:szCs w:val="21"/>
              </w:rPr>
              <w:t>开展与兄弟市、区（县）文联的协作与交流，开展国际文化交流活动。</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八、其他重要事项情况</w:t>
      </w:r>
    </w:p>
    <w:tbl>
      <w:tblPr>
        <w:tblStyle w:val="5"/>
        <w:tblW w:w="9594" w:type="dxa"/>
        <w:tblInd w:w="0" w:type="dxa"/>
        <w:tblLayout w:type="fixed"/>
        <w:tblCellMar>
          <w:top w:w="0" w:type="dxa"/>
          <w:left w:w="108" w:type="dxa"/>
          <w:bottom w:w="0" w:type="dxa"/>
          <w:right w:w="108" w:type="dxa"/>
        </w:tblCellMar>
      </w:tblPr>
      <w:tblGrid>
        <w:gridCol w:w="9594"/>
      </w:tblGrid>
      <w:tr>
        <w:tblPrEx>
          <w:tblLayout w:type="fixed"/>
          <w:tblCellMar>
            <w:top w:w="0" w:type="dxa"/>
            <w:left w:w="108" w:type="dxa"/>
            <w:bottom w:w="0" w:type="dxa"/>
            <w:right w:w="108" w:type="dxa"/>
          </w:tblCellMar>
        </w:tblPrEx>
        <w:tc>
          <w:tcPr>
            <w:tcW w:w="9594" w:type="dxa"/>
            <w:vAlign w:val="top"/>
          </w:tcPr>
          <w:p>
            <w:pPr>
              <w:pStyle w:val="7"/>
              <w:spacing w:line="560" w:lineRule="exact"/>
              <w:ind w:firstLine="420" w:firstLineChars="200"/>
              <w:rPr>
                <w:rFonts w:hint="eastAsia" w:ascii="宋体" w:hAnsi="宋体" w:eastAsia="宋体"/>
                <w:color w:val="auto"/>
                <w:kern w:val="0"/>
                <w:sz w:val="21"/>
                <w:szCs w:val="21"/>
              </w:rPr>
            </w:pPr>
            <w:r>
              <w:rPr>
                <w:rFonts w:hint="eastAsia" w:ascii="宋体" w:hAnsi="宋体" w:eastAsia="宋体"/>
                <w:color w:val="auto"/>
                <w:kern w:val="0"/>
                <w:sz w:val="21"/>
                <w:szCs w:val="21"/>
                <w:lang w:eastAsia="zh-CN"/>
              </w:rPr>
              <w:t>（一）</w:t>
            </w:r>
            <w:r>
              <w:rPr>
                <w:rFonts w:hint="eastAsia" w:ascii="宋体" w:hAnsi="宋体" w:eastAsia="宋体"/>
                <w:color w:val="auto"/>
                <w:kern w:val="0"/>
                <w:sz w:val="21"/>
                <w:szCs w:val="21"/>
              </w:rPr>
              <w:t>机关运行经费预算安排情况。</w:t>
            </w:r>
            <w:r>
              <w:rPr>
                <w:rFonts w:ascii="宋体" w:hAnsi="宋体" w:eastAsia="宋体"/>
                <w:color w:val="auto"/>
                <w:kern w:val="0"/>
                <w:sz w:val="21"/>
                <w:szCs w:val="21"/>
              </w:rPr>
              <w:t>2018年</w:t>
            </w:r>
            <w:r>
              <w:rPr>
                <w:rFonts w:hint="eastAsia" w:ascii="宋体" w:hAnsi="宋体" w:eastAsia="宋体"/>
                <w:color w:val="auto"/>
                <w:kern w:val="0"/>
                <w:sz w:val="21"/>
                <w:szCs w:val="21"/>
              </w:rPr>
              <w:t>本单位</w:t>
            </w:r>
            <w:r>
              <w:rPr>
                <w:rFonts w:ascii="宋体" w:hAnsi="宋体" w:eastAsia="宋体"/>
                <w:color w:val="auto"/>
                <w:kern w:val="0"/>
                <w:sz w:val="21"/>
                <w:szCs w:val="21"/>
              </w:rPr>
              <w:t>机关运行经费</w:t>
            </w:r>
            <w:r>
              <w:rPr>
                <w:rFonts w:hint="eastAsia" w:ascii="宋体" w:hAnsi="宋体" w:eastAsia="宋体"/>
                <w:color w:val="auto"/>
                <w:kern w:val="0"/>
                <w:sz w:val="21"/>
                <w:szCs w:val="21"/>
              </w:rPr>
              <w:t>预算6.15</w:t>
            </w:r>
            <w:r>
              <w:rPr>
                <w:rFonts w:ascii="宋体" w:hAnsi="宋体" w:eastAsia="宋体"/>
                <w:color w:val="auto"/>
                <w:kern w:val="0"/>
                <w:sz w:val="21"/>
                <w:szCs w:val="21"/>
              </w:rPr>
              <w:t>万元，</w:t>
            </w:r>
            <w:r>
              <w:rPr>
                <w:rFonts w:hint="eastAsia" w:ascii="宋体" w:hAnsi="宋体" w:eastAsia="宋体"/>
                <w:color w:val="auto"/>
                <w:kern w:val="0"/>
                <w:sz w:val="21"/>
                <w:szCs w:val="21"/>
              </w:rPr>
              <w:t>与2017年预算数同口径持平。</w:t>
            </w:r>
          </w:p>
          <w:p>
            <w:pPr>
              <w:keepNext w:val="0"/>
              <w:keepLines w:val="0"/>
              <w:widowControl w:val="0"/>
              <w:suppressLineNumbers w:val="0"/>
              <w:spacing w:before="0" w:beforeAutospacing="0" w:after="0" w:afterAutospacing="0" w:line="579" w:lineRule="exact"/>
              <w:ind w:left="0" w:right="0" w:firstLine="420" w:firstLineChars="200"/>
              <w:jc w:val="both"/>
              <w:rPr>
                <w:rFonts w:hint="eastAsia" w:ascii="宋体" w:hAnsi="宋体" w:eastAsia="宋体" w:cs="Times New Roman"/>
                <w:color w:val="auto"/>
                <w:kern w:val="0"/>
                <w:sz w:val="21"/>
                <w:szCs w:val="21"/>
                <w:lang w:val="en-US" w:eastAsia="zh-CN" w:bidi="ar-SA"/>
              </w:rPr>
            </w:pPr>
            <w:r>
              <w:rPr>
                <w:rFonts w:hint="eastAsia" w:ascii="宋体" w:hAnsi="宋体" w:eastAsia="宋体"/>
                <w:color w:val="auto"/>
                <w:kern w:val="0"/>
                <w:sz w:val="21"/>
                <w:szCs w:val="21"/>
                <w:lang w:eastAsia="zh-CN"/>
              </w:rPr>
              <w:t>（二）</w:t>
            </w:r>
            <w:r>
              <w:rPr>
                <w:rFonts w:hint="eastAsia" w:ascii="宋体" w:hAnsi="宋体" w:eastAsia="宋体" w:cs="Times New Roman"/>
                <w:color w:val="auto"/>
                <w:kern w:val="0"/>
                <w:sz w:val="21"/>
                <w:szCs w:val="21"/>
                <w:lang w:val="en-US" w:eastAsia="zh-CN" w:bidi="ar-SA"/>
              </w:rPr>
              <w:t>国有资产占有使用情况</w:t>
            </w:r>
          </w:p>
          <w:p>
            <w:pPr>
              <w:keepNext w:val="0"/>
              <w:keepLines w:val="0"/>
              <w:widowControl w:val="0"/>
              <w:suppressLineNumbers w:val="0"/>
              <w:spacing w:before="0" w:beforeAutospacing="0" w:after="0" w:afterAutospacing="0" w:line="579" w:lineRule="exact"/>
              <w:ind w:right="0" w:firstLine="420" w:firstLineChars="200"/>
              <w:jc w:val="both"/>
              <w:rPr>
                <w:rFonts w:hint="eastAsia" w:ascii="宋体" w:hAnsi="宋体" w:eastAsia="宋体" w:cs="宋体"/>
                <w:bCs/>
                <w:color w:val="auto"/>
                <w:szCs w:val="21"/>
                <w:lang w:val="en-US"/>
              </w:rPr>
            </w:pPr>
            <w:r>
              <w:rPr>
                <w:rFonts w:hint="eastAsia" w:ascii="宋体" w:hAnsi="宋体" w:eastAsia="宋体" w:cs="宋体"/>
                <w:bCs/>
                <w:color w:val="auto"/>
                <w:kern w:val="2"/>
                <w:sz w:val="21"/>
                <w:szCs w:val="21"/>
                <w:lang w:val="en-US" w:eastAsia="zh-CN" w:bidi="ar"/>
              </w:rPr>
              <w:t>截至2018年1月31日，本部门所属预算单位共有车辆 1 辆，其中：一般公务用车1 辆、一般执法执勤用车0 辆、特种专业技术用车0辆、其他用车0辆。单位价值50万以上通用设备0台（套），单位价值100万以上专用设备0台（套）。</w:t>
            </w:r>
          </w:p>
          <w:p>
            <w:pPr>
              <w:pStyle w:val="7"/>
              <w:spacing w:line="560" w:lineRule="exact"/>
              <w:ind w:firstLine="420" w:firstLineChars="200"/>
              <w:rPr>
                <w:rFonts w:hint="eastAsia" w:ascii="宋体" w:hAnsi="宋体" w:eastAsia="宋体"/>
                <w:color w:val="auto"/>
                <w:kern w:val="0"/>
                <w:sz w:val="21"/>
                <w:szCs w:val="21"/>
                <w:lang w:eastAsia="zh-CN"/>
              </w:rPr>
            </w:pPr>
            <w:r>
              <w:rPr>
                <w:rFonts w:hint="eastAsia" w:ascii="宋体" w:hAnsi="宋体" w:eastAsia="宋体" w:cs="宋体"/>
                <w:bCs/>
                <w:color w:val="auto"/>
                <w:kern w:val="2"/>
                <w:sz w:val="21"/>
                <w:szCs w:val="21"/>
                <w:lang w:val="en-US" w:eastAsia="zh-CN" w:bidi="ar"/>
              </w:rPr>
              <w:t>2018年部门预算安排购置一般公务用车0辆、一般执法执勤用车0辆、特种专业技术用车0辆、其他用车0辆。安排购置价值50万以上通用设备0台（套），单位价值100万以上专用设备0台（套）</w:t>
            </w:r>
          </w:p>
        </w:tc>
      </w:tr>
    </w:tbl>
    <w:p>
      <w:pPr>
        <w:pStyle w:val="7"/>
        <w:spacing w:line="560" w:lineRule="exact"/>
        <w:ind w:firstLine="420"/>
        <w:rPr>
          <w:rFonts w:hint="eastAsia" w:ascii="宋体" w:hAnsi="宋体" w:eastAsia="宋体"/>
          <w:b/>
          <w:bCs/>
          <w:color w:val="auto"/>
          <w:kern w:val="0"/>
          <w:sz w:val="21"/>
          <w:szCs w:val="21"/>
        </w:rPr>
      </w:pPr>
      <w:r>
        <w:rPr>
          <w:rFonts w:hint="eastAsia" w:ascii="宋体" w:hAnsi="宋体" w:eastAsia="宋体"/>
          <w:b/>
          <w:bCs/>
          <w:color w:val="auto"/>
          <w:kern w:val="0"/>
          <w:sz w:val="21"/>
          <w:szCs w:val="21"/>
        </w:rPr>
        <w:t>九、名词解释</w:t>
      </w:r>
    </w:p>
    <w:tbl>
      <w:tblPr>
        <w:tblStyle w:val="5"/>
        <w:tblW w:w="9594" w:type="dxa"/>
        <w:tblInd w:w="0" w:type="dxa"/>
        <w:tblLayout w:type="fixed"/>
        <w:tblCellMar>
          <w:top w:w="0" w:type="dxa"/>
          <w:left w:w="108" w:type="dxa"/>
          <w:bottom w:w="0" w:type="dxa"/>
          <w:right w:w="108" w:type="dxa"/>
        </w:tblCellMar>
      </w:tblPr>
      <w:tblGrid>
        <w:gridCol w:w="9594"/>
      </w:tblGrid>
      <w:tr>
        <w:tblPrEx>
          <w:tblLayout w:type="fixed"/>
          <w:tblCellMar>
            <w:top w:w="0" w:type="dxa"/>
            <w:left w:w="108" w:type="dxa"/>
            <w:bottom w:w="0" w:type="dxa"/>
            <w:right w:w="108" w:type="dxa"/>
          </w:tblCellMar>
        </w:tblPrEx>
        <w:tc>
          <w:tcPr>
            <w:tcW w:w="9594" w:type="dxa"/>
            <w:vAlign w:val="top"/>
          </w:tcPr>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1、</w:t>
            </w:r>
            <w:r>
              <w:rPr>
                <w:rFonts w:ascii="宋体" w:hAnsi="宋体" w:eastAsia="宋体"/>
                <w:color w:val="auto"/>
                <w:kern w:val="0"/>
                <w:sz w:val="21"/>
                <w:szCs w:val="21"/>
              </w:rPr>
              <w:t>文艺创作:积极投身实现“两个一百年”创作精品。</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2、文艺活动：开展具有本辖区特色的文艺活动。</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3、文艺交流：开展国际文化交流活动和兄弟市、区（县）文联的协作与交流。</w:t>
            </w:r>
          </w:p>
          <w:p>
            <w:pPr>
              <w:pStyle w:val="7"/>
              <w:spacing w:line="560" w:lineRule="exact"/>
              <w:ind w:firstLine="420" w:firstLineChars="200"/>
              <w:rPr>
                <w:rFonts w:ascii="宋体" w:hAnsi="宋体" w:eastAsia="宋体"/>
                <w:color w:val="auto"/>
                <w:kern w:val="0"/>
                <w:sz w:val="21"/>
                <w:szCs w:val="21"/>
              </w:rPr>
            </w:pPr>
            <w:r>
              <w:rPr>
                <w:rFonts w:hint="eastAsia" w:ascii="宋体" w:hAnsi="宋体" w:eastAsia="宋体"/>
                <w:color w:val="auto"/>
                <w:kern w:val="0"/>
                <w:sz w:val="21"/>
                <w:szCs w:val="21"/>
              </w:rPr>
              <w:t>4、文艺建设：完善对文联下属十一个协会及福田书画院的基础建设</w:t>
            </w:r>
          </w:p>
          <w:p>
            <w:pPr>
              <w:pStyle w:val="7"/>
              <w:spacing w:line="560" w:lineRule="exact"/>
              <w:ind w:firstLine="420" w:firstLineChars="200"/>
              <w:rPr>
                <w:rFonts w:hint="eastAsia" w:ascii="宋体" w:hAnsi="宋体" w:eastAsia="宋体"/>
                <w:color w:val="auto"/>
                <w:kern w:val="0"/>
                <w:sz w:val="21"/>
                <w:szCs w:val="21"/>
              </w:rPr>
            </w:pPr>
            <w:r>
              <w:rPr>
                <w:rFonts w:hint="eastAsia" w:ascii="宋体" w:hAnsi="宋体" w:eastAsia="宋体"/>
                <w:color w:val="auto"/>
                <w:kern w:val="0"/>
                <w:sz w:val="21"/>
                <w:szCs w:val="21"/>
              </w:rPr>
              <w:t>5、文艺管理：完善对文联下属十一个协会及福田书画院管理。</w:t>
            </w:r>
          </w:p>
        </w:tc>
      </w:tr>
    </w:tbl>
    <w:p>
      <w:pPr>
        <w:pStyle w:val="7"/>
        <w:spacing w:line="560" w:lineRule="exact"/>
        <w:ind w:firstLine="420"/>
        <w:rPr>
          <w:rFonts w:hint="eastAsia" w:ascii="宋体" w:hAnsi="宋体" w:eastAsia="宋体"/>
          <w:b/>
          <w:bCs/>
          <w:color w:val="auto"/>
          <w:kern w:val="0"/>
          <w:sz w:val="21"/>
          <w:szCs w:val="21"/>
        </w:rPr>
      </w:pPr>
    </w:p>
    <w:tbl>
      <w:tblPr>
        <w:tblStyle w:val="5"/>
        <w:tblW w:w="94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1743"/>
        <w:gridCol w:w="292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9441" w:type="dxa"/>
            <w:gridSpan w:val="4"/>
            <w:tcBorders>
              <w:top w:val="nil"/>
              <w:left w:val="nil"/>
              <w:bottom w:val="nil"/>
              <w:right w:val="nil"/>
            </w:tcBorders>
            <w:shd w:val="clear" w:color="auto" w:fill="FFFFFF"/>
            <w:vAlign w:val="center"/>
          </w:tcPr>
          <w:p>
            <w:pPr>
              <w:pStyle w:val="8"/>
              <w:keepNext/>
              <w:jc w:val="center"/>
              <w:rPr>
                <w:rFonts w:ascii="宋体" w:hAnsi="宋体" w:cs="Arial"/>
                <w:color w:val="auto"/>
                <w:kern w:val="0"/>
                <w:szCs w:val="21"/>
              </w:rPr>
            </w:pPr>
            <w:r>
              <w:rPr>
                <w:rFonts w:hint="eastAsia" w:ascii="宋体" w:hAnsi="宋体"/>
                <w:bCs/>
                <w:color w:val="auto"/>
                <w:szCs w:val="21"/>
              </w:rPr>
              <w:t xml:space="preserve"> 表一：</w:t>
            </w:r>
            <w:r>
              <w:rPr>
                <w:rFonts w:ascii="宋体" w:hAnsi="宋体"/>
                <w:bCs/>
                <w:color w:val="auto"/>
                <w:szCs w:val="21"/>
              </w:rPr>
              <w:t>部门收支预算总表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441" w:type="dxa"/>
            <w:gridSpan w:val="4"/>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4932" w:type="dxa"/>
            <w:gridSpan w:val="2"/>
            <w:tcBorders>
              <w:top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收入</w:t>
            </w:r>
          </w:p>
        </w:tc>
        <w:tc>
          <w:tcPr>
            <w:tcW w:w="4509" w:type="dxa"/>
            <w:gridSpan w:val="2"/>
            <w:tcBorders>
              <w:top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1743"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c>
          <w:tcPr>
            <w:tcW w:w="2920"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15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一、财政预算拨款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一般公共服务支出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（一）一般公共预算拨款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群众团体事务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1、一般性经费拨款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行政运行</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2、财政专项资金拨款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一般行政管理事务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519.76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3、政府投资项目拨款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其他群众团体事务支出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（二）政府性基金预算拨款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社会保障和就业支出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二、事业收入</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行政事业单位离退休</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三、事业单位经营收入</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归口管理的行政单位离退休</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四、其他收入</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本年收入合计</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本年支出合计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上级补助收入</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对附属单位补助支出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用事业基金弥补收支差额</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上缴上级支出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上年结转、结余</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结转下年</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hint="eastAsia"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收 入 总 计</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支 出 总 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r>
    </w:tbl>
    <w:p>
      <w:pPr>
        <w:pStyle w:val="9"/>
        <w:ind w:right="480"/>
        <w:rPr>
          <w:rFonts w:hint="eastAsia" w:ascii="宋体" w:hAnsi="宋体" w:eastAsia="宋体"/>
          <w:color w:val="auto"/>
          <w:sz w:val="21"/>
          <w:szCs w:val="21"/>
        </w:rPr>
      </w:pPr>
    </w:p>
    <w:tbl>
      <w:tblPr>
        <w:tblStyle w:val="5"/>
        <w:tblW w:w="94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2"/>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9441" w:type="dxa"/>
            <w:gridSpan w:val="2"/>
            <w:tcBorders>
              <w:top w:val="nil"/>
              <w:left w:val="nil"/>
              <w:bottom w:val="nil"/>
              <w:right w:val="nil"/>
            </w:tcBorders>
            <w:shd w:val="clear" w:color="auto" w:fill="FFFFFF"/>
            <w:vAlign w:val="center"/>
          </w:tcPr>
          <w:p>
            <w:pPr>
              <w:pStyle w:val="8"/>
              <w:keepNext/>
              <w:jc w:val="center"/>
              <w:rPr>
                <w:rFonts w:ascii="宋体" w:hAnsi="宋体" w:cs="Arial"/>
                <w:color w:val="auto"/>
                <w:kern w:val="0"/>
                <w:szCs w:val="21"/>
              </w:rPr>
            </w:pPr>
            <w:r>
              <w:rPr>
                <w:rFonts w:hint="eastAsia" w:ascii="宋体" w:hAnsi="宋体"/>
                <w:bCs/>
                <w:color w:val="auto"/>
                <w:szCs w:val="21"/>
              </w:rPr>
              <w:t>表二：</w:t>
            </w:r>
            <w:r>
              <w:rPr>
                <w:rFonts w:ascii="宋体" w:hAnsi="宋体" w:cs="宋体"/>
                <w:color w:val="auto"/>
                <w:szCs w:val="21"/>
              </w:rPr>
              <w:t>部门收入预算总表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441" w:type="dxa"/>
            <w:gridSpan w:val="2"/>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26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一、财政预算拨款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（一）一般公共预算拨款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1、一般性经费拨款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2、财政专项资金拨款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3、政府投资项目拨款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（二）政府性基金预算拨款</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二、事业收入</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三、事业单位经营收入</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四、其他收入</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本年收入合计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上级补助收入</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用事业基金弥补收支差额</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上年结转、结余</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收 入 总 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bl>
    <w:p>
      <w:pPr>
        <w:pStyle w:val="9"/>
        <w:ind w:right="480"/>
        <w:rPr>
          <w:rFonts w:hint="eastAsia" w:ascii="宋体" w:hAnsi="宋体" w:eastAsia="宋体"/>
          <w:color w:val="auto"/>
          <w:sz w:val="21"/>
          <w:szCs w:val="21"/>
        </w:rPr>
      </w:pPr>
    </w:p>
    <w:tbl>
      <w:tblPr>
        <w:tblStyle w:val="5"/>
        <w:tblW w:w="94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2"/>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9441" w:type="dxa"/>
            <w:gridSpan w:val="2"/>
            <w:tcBorders>
              <w:top w:val="nil"/>
              <w:left w:val="nil"/>
              <w:bottom w:val="nil"/>
              <w:right w:val="nil"/>
            </w:tcBorders>
            <w:shd w:val="clear" w:color="auto" w:fill="FFFFFF"/>
            <w:vAlign w:val="center"/>
          </w:tcPr>
          <w:p>
            <w:pPr>
              <w:pStyle w:val="8"/>
              <w:keepNext/>
              <w:jc w:val="center"/>
              <w:rPr>
                <w:rFonts w:ascii="宋体" w:hAnsi="宋体" w:cs="Arial"/>
                <w:color w:val="auto"/>
                <w:kern w:val="0"/>
                <w:szCs w:val="21"/>
              </w:rPr>
            </w:pPr>
            <w:r>
              <w:rPr>
                <w:rFonts w:hint="eastAsia" w:ascii="宋体" w:hAnsi="宋体"/>
                <w:bCs/>
                <w:color w:val="auto"/>
                <w:szCs w:val="21"/>
              </w:rPr>
              <w:t>表三：</w:t>
            </w:r>
            <w:r>
              <w:rPr>
                <w:rFonts w:ascii="宋体" w:hAnsi="宋体" w:cs="宋体"/>
                <w:color w:val="auto"/>
                <w:szCs w:val="21"/>
              </w:rPr>
              <w:t>部门</w:t>
            </w:r>
            <w:r>
              <w:rPr>
                <w:rFonts w:hint="eastAsia" w:ascii="宋体" w:hAnsi="宋体" w:cs="宋体"/>
                <w:color w:val="auto"/>
                <w:szCs w:val="21"/>
              </w:rPr>
              <w:t>支出</w:t>
            </w:r>
            <w:r>
              <w:rPr>
                <w:rFonts w:ascii="宋体" w:hAnsi="宋体" w:cs="宋体"/>
                <w:color w:val="auto"/>
                <w:szCs w:val="21"/>
              </w:rPr>
              <w:t>预算总表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441" w:type="dxa"/>
            <w:gridSpan w:val="2"/>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26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一般公共服务支出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群众团体事务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行政运行</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224.11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一般行政管理事务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519.76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其他群众团体事务支出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社会保障和就业支出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行政事业单位离退休</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归口管理的行政单位离退休</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本年支出合计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对附属单位补助支出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上缴上级支出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hint="eastAsia" w:ascii="宋体" w:hAnsi="宋体" w:cs="Arial"/>
                <w:color w:val="auto"/>
                <w:kern w:val="0"/>
                <w:szCs w:val="21"/>
              </w:rPr>
              <w:t>结转下年</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支 出 总 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bl>
    <w:p>
      <w:pPr>
        <w:pStyle w:val="9"/>
        <w:ind w:right="480"/>
        <w:rPr>
          <w:rFonts w:hint="eastAsia" w:ascii="宋体" w:hAnsi="宋体" w:eastAsia="宋体"/>
          <w:color w:val="auto"/>
          <w:sz w:val="21"/>
          <w:szCs w:val="21"/>
        </w:rPr>
      </w:pPr>
    </w:p>
    <w:tbl>
      <w:tblPr>
        <w:tblStyle w:val="5"/>
        <w:tblW w:w="94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89"/>
        <w:gridCol w:w="1743"/>
        <w:gridCol w:w="2920"/>
        <w:gridCol w:w="1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9441" w:type="dxa"/>
            <w:gridSpan w:val="4"/>
            <w:tcBorders>
              <w:top w:val="nil"/>
              <w:left w:val="nil"/>
              <w:bottom w:val="nil"/>
              <w:right w:val="nil"/>
            </w:tcBorders>
            <w:shd w:val="clear" w:color="auto" w:fill="FFFFFF"/>
            <w:vAlign w:val="center"/>
          </w:tcPr>
          <w:p>
            <w:pPr>
              <w:pStyle w:val="8"/>
              <w:keepNext/>
              <w:jc w:val="center"/>
              <w:rPr>
                <w:rFonts w:ascii="宋体" w:hAnsi="宋体" w:cs="Arial"/>
                <w:color w:val="auto"/>
                <w:kern w:val="0"/>
                <w:szCs w:val="21"/>
              </w:rPr>
            </w:pPr>
            <w:r>
              <w:rPr>
                <w:rFonts w:hint="eastAsia" w:ascii="宋体" w:hAnsi="宋体"/>
                <w:bCs/>
                <w:color w:val="auto"/>
                <w:szCs w:val="21"/>
              </w:rPr>
              <w:t>表四：</w:t>
            </w:r>
            <w:r>
              <w:rPr>
                <w:rFonts w:ascii="宋体" w:hAnsi="宋体" w:cs="宋体"/>
                <w:color w:val="auto"/>
                <w:szCs w:val="21"/>
              </w:rPr>
              <w:t>财政拨款收支预算总表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441" w:type="dxa"/>
            <w:gridSpan w:val="4"/>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4932" w:type="dxa"/>
            <w:gridSpan w:val="2"/>
            <w:tcBorders>
              <w:top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收入</w:t>
            </w:r>
          </w:p>
        </w:tc>
        <w:tc>
          <w:tcPr>
            <w:tcW w:w="4509" w:type="dxa"/>
            <w:gridSpan w:val="2"/>
            <w:tcBorders>
              <w:top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1743"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c>
          <w:tcPr>
            <w:tcW w:w="2920"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项目</w:t>
            </w:r>
          </w:p>
        </w:tc>
        <w:tc>
          <w:tcPr>
            <w:tcW w:w="15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一、一般公共预算拨款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一般公共服务支出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1、一般性经费拨款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群众团体事务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2、财政专项资金拨款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行政运行</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3、政府投资项目拨款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一般行政管理事务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519.76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二、政府性基金预算拨款</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其他群众团体事务支出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社会保障和就业支出</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行政事业单位离退休</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归口管理的行政单位离退休</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本年收入合计</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本年支出合计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上年结转、结余</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2920" w:type="dxa"/>
            <w:vAlign w:val="center"/>
          </w:tcPr>
          <w:p>
            <w:pPr>
              <w:pStyle w:val="8"/>
              <w:keepNext/>
              <w:rPr>
                <w:rFonts w:ascii="宋体" w:hAnsi="宋体" w:cs="Arial"/>
                <w:color w:val="auto"/>
                <w:kern w:val="0"/>
                <w:szCs w:val="21"/>
              </w:rPr>
            </w:pPr>
            <w:r>
              <w:rPr>
                <w:rFonts w:hint="eastAsia" w:ascii="宋体" w:hAnsi="宋体" w:cs="Arial"/>
                <w:color w:val="auto"/>
                <w:kern w:val="0"/>
                <w:szCs w:val="21"/>
              </w:rPr>
              <w:t>结转下年</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3189"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收 入 总 计</w:t>
            </w:r>
          </w:p>
        </w:tc>
        <w:tc>
          <w:tcPr>
            <w:tcW w:w="1743"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2920"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支 出 总 计</w:t>
            </w:r>
          </w:p>
        </w:tc>
        <w:tc>
          <w:tcPr>
            <w:tcW w:w="1589"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r>
    </w:tbl>
    <w:p>
      <w:pPr>
        <w:pStyle w:val="9"/>
        <w:ind w:right="480"/>
        <w:rPr>
          <w:rFonts w:hint="eastAsia" w:ascii="宋体" w:hAnsi="宋体" w:eastAsia="宋体"/>
          <w:color w:val="auto"/>
          <w:sz w:val="21"/>
          <w:szCs w:val="21"/>
        </w:rPr>
      </w:pPr>
    </w:p>
    <w:tbl>
      <w:tblPr>
        <w:tblStyle w:val="5"/>
        <w:tblW w:w="94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2940"/>
        <w:gridCol w:w="1680"/>
        <w:gridCol w:w="1400"/>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5"/>
            <w:tcBorders>
              <w:top w:val="nil"/>
              <w:left w:val="nil"/>
              <w:bottom w:val="nil"/>
              <w:right w:val="nil"/>
            </w:tcBorders>
            <w:shd w:val="clear" w:color="auto" w:fill="FFFFFF"/>
            <w:vAlign w:val="center"/>
          </w:tcPr>
          <w:p>
            <w:pPr>
              <w:pStyle w:val="9"/>
              <w:keepNext/>
              <w:jc w:val="center"/>
              <w:rPr>
                <w:rFonts w:ascii="宋体" w:hAnsi="宋体" w:eastAsia="宋体" w:cs="Arial"/>
                <w:color w:val="auto"/>
                <w:kern w:val="0"/>
                <w:sz w:val="21"/>
                <w:szCs w:val="21"/>
              </w:rPr>
            </w:pPr>
            <w:r>
              <w:rPr>
                <w:rFonts w:hint="eastAsia" w:ascii="宋体" w:hAnsi="宋体" w:eastAsia="宋体"/>
                <w:bCs/>
                <w:color w:val="auto"/>
                <w:sz w:val="21"/>
                <w:szCs w:val="21"/>
              </w:rPr>
              <w:t>表五：</w:t>
            </w:r>
            <w:r>
              <w:rPr>
                <w:rFonts w:ascii="宋体" w:hAnsi="宋体" w:eastAsia="宋体" w:cs="宋体"/>
                <w:color w:val="auto"/>
                <w:sz w:val="21"/>
                <w:szCs w:val="21"/>
              </w:rPr>
              <w:t>一般公共预算支出表（按功能科目）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5"/>
            <w:tcBorders>
              <w:top w:val="nil"/>
              <w:left w:val="nil"/>
              <w:bottom w:val="single" w:color="auto" w:sz="4" w:space="0"/>
              <w:right w:val="nil"/>
            </w:tcBorders>
            <w:vAlign w:val="bottom"/>
          </w:tcPr>
          <w:p>
            <w:pPr>
              <w:pStyle w:val="8"/>
              <w:keepNext/>
              <w:ind w:right="3"/>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1998" w:type="dxa"/>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Courier New"/>
                <w:color w:val="auto"/>
                <w:kern w:val="0"/>
                <w:szCs w:val="21"/>
              </w:rPr>
              <w:t>科目编码</w:t>
            </w:r>
          </w:p>
        </w:tc>
        <w:tc>
          <w:tcPr>
            <w:tcW w:w="2940"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科目</w:t>
            </w:r>
          </w:p>
        </w:tc>
        <w:tc>
          <w:tcPr>
            <w:tcW w:w="1680"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合计</w:t>
            </w:r>
          </w:p>
        </w:tc>
        <w:tc>
          <w:tcPr>
            <w:tcW w:w="1400"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基本支出</w:t>
            </w:r>
          </w:p>
        </w:tc>
        <w:tc>
          <w:tcPr>
            <w:tcW w:w="1436"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项目支出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合计</w:t>
            </w:r>
          </w:p>
        </w:tc>
        <w:tc>
          <w:tcPr>
            <w:tcW w:w="294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824.45</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299.69</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201</w:t>
            </w:r>
          </w:p>
        </w:tc>
        <w:tc>
          <w:tcPr>
            <w:tcW w:w="2940" w:type="dxa"/>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一般公共服务支出</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20129</w:t>
            </w:r>
          </w:p>
        </w:tc>
        <w:tc>
          <w:tcPr>
            <w:tcW w:w="2940" w:type="dxa"/>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群众团体事务</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748.87</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2012901</w:t>
            </w:r>
          </w:p>
        </w:tc>
        <w:tc>
          <w:tcPr>
            <w:tcW w:w="294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行政运行</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224.11</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2012902</w:t>
            </w:r>
          </w:p>
        </w:tc>
        <w:tc>
          <w:tcPr>
            <w:tcW w:w="294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一般行政管理事务</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519.76</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519.76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2012999</w:t>
            </w:r>
          </w:p>
        </w:tc>
        <w:tc>
          <w:tcPr>
            <w:tcW w:w="294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其他群众团体事务支出</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5</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208</w:t>
            </w:r>
          </w:p>
        </w:tc>
        <w:tc>
          <w:tcPr>
            <w:tcW w:w="2940" w:type="dxa"/>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社会保障和就业支出</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20805</w:t>
            </w:r>
          </w:p>
        </w:tc>
        <w:tc>
          <w:tcPr>
            <w:tcW w:w="2940" w:type="dxa"/>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行政事业单位离退休</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2080501</w:t>
            </w:r>
          </w:p>
        </w:tc>
        <w:tc>
          <w:tcPr>
            <w:tcW w:w="294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归口管理的行政单位离退休</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0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c>
          <w:tcPr>
            <w:tcW w:w="143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bl>
    <w:p>
      <w:pPr>
        <w:pStyle w:val="9"/>
        <w:ind w:right="480"/>
        <w:rPr>
          <w:rFonts w:hint="eastAsia" w:ascii="宋体" w:hAnsi="宋体" w:eastAsia="宋体"/>
          <w:color w:val="auto"/>
          <w:sz w:val="21"/>
          <w:szCs w:val="21"/>
        </w:rPr>
      </w:pPr>
    </w:p>
    <w:tbl>
      <w:tblPr>
        <w:tblStyle w:val="5"/>
        <w:tblW w:w="94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4907"/>
        <w:gridCol w:w="2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9439" w:type="dxa"/>
            <w:gridSpan w:val="3"/>
            <w:tcBorders>
              <w:top w:val="nil"/>
              <w:left w:val="nil"/>
              <w:bottom w:val="nil"/>
              <w:right w:val="nil"/>
            </w:tcBorders>
            <w:shd w:val="clear" w:color="auto" w:fill="FFFFFF"/>
            <w:vAlign w:val="center"/>
          </w:tcPr>
          <w:p>
            <w:pPr>
              <w:pStyle w:val="9"/>
              <w:keepNext/>
              <w:jc w:val="center"/>
              <w:rPr>
                <w:rFonts w:ascii="宋体" w:hAnsi="宋体" w:eastAsia="宋体" w:cs="Arial"/>
                <w:color w:val="auto"/>
                <w:kern w:val="0"/>
                <w:sz w:val="21"/>
                <w:szCs w:val="21"/>
              </w:rPr>
            </w:pPr>
            <w:r>
              <w:rPr>
                <w:rFonts w:hint="eastAsia" w:ascii="宋体" w:hAnsi="宋体" w:eastAsia="宋体"/>
                <w:bCs/>
                <w:color w:val="auto"/>
                <w:sz w:val="21"/>
                <w:szCs w:val="21"/>
              </w:rPr>
              <w:t>表六：</w:t>
            </w:r>
            <w:r>
              <w:rPr>
                <w:rFonts w:ascii="宋体" w:hAnsi="宋体" w:eastAsia="宋体" w:cs="宋体"/>
                <w:color w:val="auto"/>
                <w:sz w:val="21"/>
                <w:szCs w:val="21"/>
              </w:rPr>
              <w:t>一般公共预算基本支出表（按经济科目）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2" w:hRule="atLeast"/>
          <w:jc w:val="center"/>
        </w:trPr>
        <w:tc>
          <w:tcPr>
            <w:tcW w:w="9439" w:type="dxa"/>
            <w:gridSpan w:val="3"/>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Courier New"/>
                <w:color w:val="auto"/>
                <w:kern w:val="0"/>
                <w:szCs w:val="21"/>
              </w:rPr>
              <w:t>科目编码</w:t>
            </w:r>
          </w:p>
        </w:tc>
        <w:tc>
          <w:tcPr>
            <w:tcW w:w="4907" w:type="dxa"/>
            <w:tcBorders>
              <w:top w:val="single" w:color="auto" w:sz="4" w:space="0"/>
              <w:bottom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科目</w:t>
            </w:r>
          </w:p>
        </w:tc>
        <w:tc>
          <w:tcPr>
            <w:tcW w:w="2702" w:type="dxa"/>
            <w:tcBorders>
              <w:top w:val="single" w:color="auto" w:sz="4" w:space="0"/>
              <w:bottom w:val="single" w:color="auto" w:sz="4" w:space="0"/>
            </w:tcBorders>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合计</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299.69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301</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工资福利支出</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198.12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30101</w:t>
            </w:r>
          </w:p>
        </w:tc>
        <w:tc>
          <w:tcPr>
            <w:tcW w:w="4907" w:type="dxa"/>
            <w:tcBorders>
              <w:top w:val="single" w:color="auto" w:sz="4" w:space="0"/>
              <w:bottom w:val="single" w:color="auto" w:sz="4" w:space="0"/>
            </w:tcBorders>
            <w:shd w:val="clear" w:color="auto" w:fill="FFFFFF"/>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基本工资</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137.12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30108</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机关事业单位基本养老保险缴费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30109</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职业年金缴费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30110</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职工基本医疗保险缴费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30113</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住房公积金</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30199</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其他工资福利支出</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302</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商品和服务支出</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30201</w:t>
            </w:r>
          </w:p>
        </w:tc>
        <w:tc>
          <w:tcPr>
            <w:tcW w:w="4907" w:type="dxa"/>
            <w:tcBorders>
              <w:top w:val="single" w:color="auto" w:sz="4" w:space="0"/>
              <w:bottom w:val="single" w:color="auto" w:sz="4" w:space="0"/>
            </w:tcBorders>
            <w:shd w:val="clear" w:color="auto" w:fill="FFFFFF"/>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办公费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30207</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邮电费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30213</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维修（护）费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30226</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劳务费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30228</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工会经费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30229</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福利费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30231</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公务用车运行维护费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30299</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其他商品和服务支出</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303</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对个人和家庭的补助</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78.33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30302</w:t>
            </w:r>
          </w:p>
        </w:tc>
        <w:tc>
          <w:tcPr>
            <w:tcW w:w="4907" w:type="dxa"/>
            <w:tcBorders>
              <w:top w:val="single" w:color="auto" w:sz="4" w:space="0"/>
              <w:bottom w:val="single" w:color="auto" w:sz="4" w:space="0"/>
            </w:tcBorders>
            <w:shd w:val="clear" w:color="auto" w:fill="FFFFFF"/>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退休费</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30309</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奖励金</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2.75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310</w:t>
            </w:r>
          </w:p>
        </w:tc>
        <w:tc>
          <w:tcPr>
            <w:tcW w:w="4907" w:type="dxa"/>
            <w:tcBorders>
              <w:top w:val="single" w:color="auto" w:sz="4" w:space="0"/>
              <w:bottom w:val="single" w:color="auto" w:sz="4" w:space="0"/>
            </w:tcBorders>
            <w:shd w:val="clear" w:color="auto" w:fill="FFFFFF"/>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其他资本性支出</w:t>
            </w:r>
          </w:p>
        </w:tc>
        <w:tc>
          <w:tcPr>
            <w:tcW w:w="2702" w:type="dxa"/>
            <w:tcBorders>
              <w:top w:val="single" w:color="auto" w:sz="4" w:space="0"/>
              <w:bottom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 w:hRule="atLeast"/>
          <w:jc w:val="center"/>
        </w:trPr>
        <w:tc>
          <w:tcPr>
            <w:tcW w:w="1830" w:type="dxa"/>
            <w:tcBorders>
              <w:top w:val="single" w:color="auto" w:sz="4" w:space="0"/>
            </w:tcBorders>
            <w:shd w:val="clear" w:color="auto" w:fill="FFFFFF"/>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31002</w:t>
            </w:r>
          </w:p>
        </w:tc>
        <w:tc>
          <w:tcPr>
            <w:tcW w:w="4907" w:type="dxa"/>
            <w:tcBorders>
              <w:top w:val="single" w:color="auto" w:sz="4" w:space="0"/>
            </w:tcBorders>
            <w:shd w:val="clear" w:color="auto" w:fill="FFFFFF"/>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办公设备购置</w:t>
            </w:r>
          </w:p>
        </w:tc>
        <w:tc>
          <w:tcPr>
            <w:tcW w:w="2702" w:type="dxa"/>
            <w:tcBorders>
              <w:top w:val="single" w:color="auto" w:sz="4" w:space="0"/>
            </w:tcBorders>
            <w:shd w:val="clear" w:color="auto" w:fill="FFFFFF"/>
            <w:vAlign w:val="bottom"/>
          </w:tcPr>
          <w:p>
            <w:pPr>
              <w:pStyle w:val="8"/>
              <w:keepNext/>
              <w:jc w:val="right"/>
              <w:rPr>
                <w:rFonts w:ascii="宋体" w:hAnsi="宋体" w:cs="Arial"/>
                <w:color w:val="auto"/>
                <w:kern w:val="0"/>
                <w:szCs w:val="21"/>
              </w:rPr>
            </w:pPr>
            <w:r>
              <w:rPr>
                <w:rFonts w:ascii="宋体" w:hAnsi="宋体" w:cs="Arial"/>
                <w:color w:val="auto"/>
                <w:kern w:val="0"/>
                <w:szCs w:val="21"/>
              </w:rPr>
              <w:t>1</w:t>
            </w:r>
          </w:p>
        </w:tc>
      </w:tr>
    </w:tbl>
    <w:p>
      <w:pPr>
        <w:pStyle w:val="9"/>
        <w:ind w:right="480"/>
        <w:rPr>
          <w:rFonts w:hint="eastAsia" w:ascii="宋体" w:hAnsi="宋体" w:eastAsia="宋体"/>
          <w:color w:val="auto"/>
          <w:sz w:val="21"/>
          <w:szCs w:val="21"/>
        </w:rPr>
      </w:pPr>
    </w:p>
    <w:tbl>
      <w:tblPr>
        <w:tblStyle w:val="5"/>
        <w:tblW w:w="944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2"/>
        <w:gridCol w:w="26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5" w:hRule="atLeast"/>
          <w:jc w:val="center"/>
        </w:trPr>
        <w:tc>
          <w:tcPr>
            <w:tcW w:w="9441" w:type="dxa"/>
            <w:gridSpan w:val="2"/>
            <w:tcBorders>
              <w:top w:val="nil"/>
              <w:left w:val="nil"/>
              <w:bottom w:val="nil"/>
              <w:right w:val="nil"/>
            </w:tcBorders>
            <w:shd w:val="clear" w:color="auto" w:fill="FFFFFF"/>
            <w:vAlign w:val="center"/>
          </w:tcPr>
          <w:p>
            <w:pPr>
              <w:pStyle w:val="8"/>
              <w:keepNext/>
              <w:jc w:val="center"/>
              <w:rPr>
                <w:rFonts w:ascii="宋体" w:hAnsi="宋体" w:cs="Arial"/>
                <w:color w:val="auto"/>
                <w:kern w:val="0"/>
                <w:szCs w:val="21"/>
              </w:rPr>
            </w:pPr>
            <w:r>
              <w:rPr>
                <w:rFonts w:hint="eastAsia" w:ascii="宋体" w:hAnsi="宋体"/>
                <w:bCs/>
                <w:color w:val="auto"/>
                <w:szCs w:val="21"/>
              </w:rPr>
              <w:t>表七：</w:t>
            </w:r>
            <w:r>
              <w:rPr>
                <w:rFonts w:ascii="宋体" w:hAnsi="宋体" w:cs="宋体"/>
                <w:color w:val="auto"/>
                <w:szCs w:val="21"/>
              </w:rPr>
              <w:t>一般公共预算支出表（按项目分类）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8" w:hRule="atLeast"/>
          <w:jc w:val="center"/>
        </w:trPr>
        <w:tc>
          <w:tcPr>
            <w:tcW w:w="9441" w:type="dxa"/>
            <w:gridSpan w:val="2"/>
            <w:tcBorders>
              <w:top w:val="nil"/>
              <w:left w:val="nil"/>
              <w:bottom w:val="single" w:color="auto" w:sz="4" w:space="0"/>
              <w:right w:val="nil"/>
            </w:tcBorders>
            <w:shd w:val="clear" w:color="auto" w:fill="FFFFFF"/>
            <w:vAlign w:val="bottom"/>
          </w:tcPr>
          <w:p>
            <w:pPr>
              <w:pStyle w:val="8"/>
              <w:keepNext/>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预算项目</w:t>
            </w:r>
          </w:p>
        </w:tc>
        <w:tc>
          <w:tcPr>
            <w:tcW w:w="2689" w:type="dxa"/>
            <w:shd w:val="clear" w:color="auto" w:fill="FFFFFF"/>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合计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824.45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一、基本支出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299.69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（一）人员经费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211.87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（二）离退休经费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（三）公用经费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12.24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hint="eastAsia" w:ascii="宋体" w:hAnsi="宋体" w:cs="Arial"/>
                <w:color w:val="auto"/>
                <w:kern w:val="0"/>
                <w:szCs w:val="21"/>
              </w:rPr>
              <w:t>二、项目支出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hint="eastAsia" w:ascii="宋体" w:hAnsi="宋体" w:cs="Arial"/>
                <w:color w:val="auto"/>
                <w:kern w:val="0"/>
                <w:szCs w:val="21"/>
              </w:rPr>
            </w:pPr>
            <w:r>
              <w:rPr>
                <w:rFonts w:ascii="宋体" w:hAnsi="宋体" w:cs="Arial"/>
                <w:color w:val="auto"/>
                <w:kern w:val="0"/>
                <w:szCs w:val="21"/>
              </w:rPr>
              <w:t xml:space="preserve">  （一）一般性项目支出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524.76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1、购置费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2、修缮费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3、业务费</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517.36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（1）一般管理事务</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162.36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（2）文艺创作与活动</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（3）文艺交流与培训</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（4）文艺建设与管理</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4、预算准备金</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（二）专项性项目支出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4" w:hRule="atLeast"/>
          <w:jc w:val="center"/>
        </w:trPr>
        <w:tc>
          <w:tcPr>
            <w:tcW w:w="6752" w:type="dxa"/>
            <w:vAlign w:val="center"/>
          </w:tcPr>
          <w:p>
            <w:pPr>
              <w:pStyle w:val="8"/>
              <w:keepNext/>
              <w:rPr>
                <w:rFonts w:ascii="宋体" w:hAnsi="宋体" w:cs="Arial"/>
                <w:color w:val="auto"/>
                <w:kern w:val="0"/>
                <w:szCs w:val="21"/>
              </w:rPr>
            </w:pPr>
            <w:r>
              <w:rPr>
                <w:rFonts w:ascii="宋体" w:hAnsi="宋体" w:cs="Arial"/>
                <w:color w:val="auto"/>
                <w:kern w:val="0"/>
                <w:szCs w:val="21"/>
              </w:rPr>
              <w:t xml:space="preserve">  （三）政府投资项目支出</w:t>
            </w:r>
          </w:p>
        </w:tc>
        <w:tc>
          <w:tcPr>
            <w:tcW w:w="2689"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bl>
    <w:p>
      <w:pPr>
        <w:pStyle w:val="9"/>
        <w:ind w:right="480"/>
        <w:rPr>
          <w:rFonts w:hint="eastAsia" w:ascii="宋体" w:hAnsi="宋体" w:eastAsia="宋体"/>
          <w:color w:val="auto"/>
          <w:sz w:val="21"/>
          <w:szCs w:val="21"/>
        </w:rPr>
      </w:pPr>
    </w:p>
    <w:tbl>
      <w:tblPr>
        <w:tblStyle w:val="5"/>
        <w:tblW w:w="94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3920"/>
        <w:gridCol w:w="1680"/>
        <w:gridCol w:w="1680"/>
        <w:gridCol w:w="1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5"/>
            <w:tcBorders>
              <w:top w:val="nil"/>
              <w:left w:val="nil"/>
              <w:bottom w:val="nil"/>
              <w:right w:val="nil"/>
            </w:tcBorders>
            <w:shd w:val="clear" w:color="auto" w:fill="FFFFFF"/>
            <w:vAlign w:val="center"/>
          </w:tcPr>
          <w:p>
            <w:pPr>
              <w:pStyle w:val="9"/>
              <w:keepNext/>
              <w:jc w:val="center"/>
              <w:rPr>
                <w:rFonts w:ascii="宋体" w:hAnsi="宋体" w:eastAsia="宋体" w:cs="Arial"/>
                <w:color w:val="auto"/>
                <w:kern w:val="0"/>
                <w:sz w:val="21"/>
                <w:szCs w:val="21"/>
              </w:rPr>
            </w:pPr>
            <w:r>
              <w:rPr>
                <w:rFonts w:hint="eastAsia" w:ascii="宋体" w:hAnsi="宋体" w:eastAsia="宋体"/>
                <w:bCs/>
                <w:color w:val="auto"/>
                <w:sz w:val="21"/>
                <w:szCs w:val="21"/>
              </w:rPr>
              <w:t>表八：</w:t>
            </w:r>
            <w:r>
              <w:rPr>
                <w:rFonts w:ascii="宋体" w:hAnsi="宋体" w:eastAsia="宋体" w:cs="宋体"/>
                <w:color w:val="auto"/>
                <w:sz w:val="21"/>
                <w:szCs w:val="21"/>
              </w:rPr>
              <w:t>政府采购项目经费预算表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5"/>
            <w:tcBorders>
              <w:top w:val="nil"/>
              <w:left w:val="nil"/>
              <w:bottom w:val="single" w:color="auto" w:sz="4" w:space="0"/>
              <w:right w:val="nil"/>
            </w:tcBorders>
            <w:vAlign w:val="bottom"/>
          </w:tcPr>
          <w:p>
            <w:pPr>
              <w:pStyle w:val="8"/>
              <w:keepNext/>
              <w:ind w:right="3"/>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1018" w:type="dxa"/>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Courier New"/>
                <w:color w:val="auto"/>
                <w:kern w:val="0"/>
                <w:szCs w:val="21"/>
              </w:rPr>
              <w:t>序号</w:t>
            </w:r>
          </w:p>
        </w:tc>
        <w:tc>
          <w:tcPr>
            <w:tcW w:w="3920" w:type="dxa"/>
            <w:tcBorders>
              <w:top w:val="single" w:color="auto" w:sz="4" w:space="0"/>
            </w:tcBorders>
            <w:vAlign w:val="center"/>
          </w:tcPr>
          <w:p>
            <w:pPr>
              <w:pStyle w:val="8"/>
              <w:jc w:val="center"/>
              <w:rPr>
                <w:rFonts w:ascii="宋体" w:hAnsi="宋体" w:cs="Arial"/>
                <w:color w:val="auto"/>
                <w:kern w:val="0"/>
                <w:szCs w:val="21"/>
              </w:rPr>
            </w:pPr>
            <w:r>
              <w:rPr>
                <w:rFonts w:ascii="宋体" w:hAnsi="宋体" w:cs="宋体"/>
                <w:color w:val="auto"/>
                <w:szCs w:val="21"/>
              </w:rPr>
              <w:t>预算项目</w:t>
            </w:r>
          </w:p>
        </w:tc>
        <w:tc>
          <w:tcPr>
            <w:tcW w:w="1680"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合计</w:t>
            </w:r>
          </w:p>
        </w:tc>
        <w:tc>
          <w:tcPr>
            <w:tcW w:w="1680" w:type="dxa"/>
            <w:tcBorders>
              <w:top w:val="single" w:color="auto" w:sz="4" w:space="0"/>
            </w:tcBorders>
            <w:vAlign w:val="center"/>
          </w:tcPr>
          <w:p>
            <w:pPr>
              <w:pStyle w:val="8"/>
              <w:jc w:val="center"/>
              <w:rPr>
                <w:rFonts w:ascii="宋体" w:hAnsi="宋体" w:cs="Arial"/>
                <w:color w:val="auto"/>
                <w:kern w:val="0"/>
                <w:szCs w:val="21"/>
              </w:rPr>
            </w:pPr>
            <w:r>
              <w:rPr>
                <w:rFonts w:ascii="宋体" w:hAnsi="宋体" w:cs="宋体"/>
                <w:color w:val="auto"/>
                <w:szCs w:val="21"/>
              </w:rPr>
              <w:t>一般公共预算</w:t>
            </w:r>
          </w:p>
        </w:tc>
        <w:tc>
          <w:tcPr>
            <w:tcW w:w="1156" w:type="dxa"/>
            <w:tcBorders>
              <w:top w:val="single" w:color="auto" w:sz="4" w:space="0"/>
            </w:tcBorders>
            <w:vAlign w:val="center"/>
          </w:tcPr>
          <w:p>
            <w:pPr>
              <w:pStyle w:val="8"/>
              <w:jc w:val="center"/>
              <w:rPr>
                <w:rFonts w:ascii="宋体" w:hAnsi="宋体" w:cs="Arial"/>
                <w:color w:val="auto"/>
                <w:kern w:val="0"/>
                <w:szCs w:val="21"/>
              </w:rPr>
            </w:pPr>
            <w:r>
              <w:rPr>
                <w:rFonts w:ascii="宋体" w:hAnsi="宋体" w:cs="宋体"/>
                <w:color w:val="auto"/>
                <w:szCs w:val="21"/>
              </w:rPr>
              <w:t>基金预算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r>
              <w:rPr>
                <w:rFonts w:ascii="宋体" w:hAnsi="宋体" w:cs="Arial"/>
                <w:color w:val="auto"/>
                <w:kern w:val="0"/>
                <w:szCs w:val="21"/>
              </w:rPr>
              <w:t>1</w:t>
            </w:r>
          </w:p>
        </w:tc>
        <w:tc>
          <w:tcPr>
            <w:tcW w:w="3920" w:type="dxa"/>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购置费</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2.4</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2.4</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p>
        </w:tc>
        <w:tc>
          <w:tcPr>
            <w:tcW w:w="3920" w:type="dxa"/>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A0304手提电脑</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2.4</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2.4</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r>
              <w:rPr>
                <w:rFonts w:ascii="宋体" w:hAnsi="宋体" w:cs="Arial"/>
                <w:color w:val="auto"/>
                <w:kern w:val="0"/>
                <w:szCs w:val="21"/>
              </w:rPr>
              <w:t>2</w:t>
            </w:r>
          </w:p>
        </w:tc>
        <w:tc>
          <w:tcPr>
            <w:tcW w:w="3920" w:type="dxa"/>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业务费</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p>
        </w:tc>
        <w:tc>
          <w:tcPr>
            <w:tcW w:w="3920" w:type="dxa"/>
            <w:vAlign w:val="center"/>
          </w:tcPr>
          <w:p>
            <w:pPr>
              <w:pStyle w:val="8"/>
              <w:keepNext/>
              <w:jc w:val="left"/>
              <w:rPr>
                <w:rFonts w:hint="eastAsia" w:ascii="宋体" w:hAnsi="宋体" w:cs="Arial"/>
                <w:color w:val="auto"/>
                <w:kern w:val="0"/>
                <w:szCs w:val="21"/>
              </w:rPr>
            </w:pPr>
            <w:r>
              <w:rPr>
                <w:rFonts w:ascii="宋体" w:hAnsi="宋体" w:cs="Arial"/>
                <w:color w:val="auto"/>
                <w:kern w:val="0"/>
                <w:szCs w:val="21"/>
              </w:rPr>
              <w:t xml:space="preserve">   一般管理事务</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p>
        </w:tc>
        <w:tc>
          <w:tcPr>
            <w:tcW w:w="392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C9900其他服务</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20.91</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018" w:type="dxa"/>
            <w:vAlign w:val="center"/>
          </w:tcPr>
          <w:p>
            <w:pPr>
              <w:pStyle w:val="8"/>
              <w:keepNext/>
              <w:jc w:val="left"/>
              <w:rPr>
                <w:rFonts w:ascii="宋体" w:hAnsi="宋体" w:cs="Arial"/>
                <w:color w:val="auto"/>
                <w:kern w:val="0"/>
                <w:szCs w:val="21"/>
              </w:rPr>
            </w:pPr>
          </w:p>
        </w:tc>
        <w:tc>
          <w:tcPr>
            <w:tcW w:w="3920" w:type="dxa"/>
            <w:vAlign w:val="center"/>
          </w:tcPr>
          <w:p>
            <w:pPr>
              <w:pStyle w:val="8"/>
              <w:keepNext/>
              <w:jc w:val="left"/>
              <w:rPr>
                <w:rFonts w:ascii="宋体" w:hAnsi="宋体" w:cs="Arial"/>
                <w:color w:val="auto"/>
                <w:kern w:val="0"/>
                <w:szCs w:val="21"/>
              </w:rPr>
            </w:pPr>
            <w:r>
              <w:rPr>
                <w:rFonts w:ascii="宋体" w:hAnsi="宋体" w:cs="Arial"/>
                <w:color w:val="auto"/>
                <w:kern w:val="0"/>
                <w:szCs w:val="21"/>
              </w:rPr>
              <w:t xml:space="preserve">       合计</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23.31</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23.31</w:t>
            </w:r>
          </w:p>
        </w:tc>
        <w:tc>
          <w:tcPr>
            <w:tcW w:w="1156" w:type="dxa"/>
            <w:vAlign w:val="center"/>
          </w:tcPr>
          <w:p>
            <w:pPr>
              <w:pStyle w:val="8"/>
              <w:keepNext/>
              <w:jc w:val="right"/>
              <w:rPr>
                <w:rFonts w:ascii="宋体" w:hAnsi="宋体" w:cs="Arial"/>
                <w:color w:val="auto"/>
                <w:kern w:val="0"/>
                <w:szCs w:val="21"/>
              </w:rPr>
            </w:pPr>
            <w:r>
              <w:rPr>
                <w:rFonts w:ascii="宋体" w:hAnsi="宋体" w:cs="Arial"/>
                <w:color w:val="auto"/>
                <w:kern w:val="0"/>
                <w:szCs w:val="21"/>
              </w:rPr>
              <w:t xml:space="preserve"> </w:t>
            </w:r>
          </w:p>
        </w:tc>
      </w:tr>
    </w:tbl>
    <w:p>
      <w:pPr>
        <w:pStyle w:val="9"/>
        <w:ind w:right="480"/>
        <w:rPr>
          <w:rFonts w:hint="eastAsia" w:ascii="宋体" w:hAnsi="宋体" w:eastAsia="宋体"/>
          <w:color w:val="auto"/>
          <w:sz w:val="21"/>
          <w:szCs w:val="21"/>
        </w:rPr>
      </w:pPr>
    </w:p>
    <w:p>
      <w:pPr>
        <w:pStyle w:val="9"/>
        <w:spacing w:line="14" w:lineRule="exact"/>
        <w:rPr>
          <w:rFonts w:hint="eastAsia" w:ascii="宋体" w:hAnsi="宋体" w:eastAsia="宋体"/>
          <w:color w:val="auto"/>
          <w:sz w:val="21"/>
          <w:szCs w:val="21"/>
        </w:rPr>
      </w:pPr>
    </w:p>
    <w:tbl>
      <w:tblPr>
        <w:tblStyle w:val="5"/>
        <w:tblW w:w="94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4"/>
        <w:gridCol w:w="1680"/>
        <w:gridCol w:w="1260"/>
        <w:gridCol w:w="980"/>
        <w:gridCol w:w="1436"/>
        <w:gridCol w:w="16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46" w:type="dxa"/>
            <w:gridSpan w:val="6"/>
            <w:tcBorders>
              <w:top w:val="nil"/>
              <w:left w:val="nil"/>
              <w:bottom w:val="nil"/>
              <w:right w:val="nil"/>
            </w:tcBorders>
            <w:shd w:val="clear" w:color="auto" w:fill="FFFFFF"/>
            <w:vAlign w:val="center"/>
          </w:tcPr>
          <w:p>
            <w:pPr>
              <w:pStyle w:val="9"/>
              <w:keepNext/>
              <w:jc w:val="center"/>
              <w:rPr>
                <w:rFonts w:ascii="宋体" w:hAnsi="宋体" w:eastAsia="宋体" w:cs="Arial"/>
                <w:color w:val="auto"/>
                <w:kern w:val="0"/>
                <w:sz w:val="21"/>
                <w:szCs w:val="21"/>
              </w:rPr>
            </w:pPr>
            <w:r>
              <w:rPr>
                <w:rFonts w:hint="eastAsia" w:ascii="宋体" w:hAnsi="宋体" w:eastAsia="宋体"/>
                <w:bCs/>
                <w:color w:val="auto"/>
                <w:sz w:val="21"/>
                <w:szCs w:val="21"/>
              </w:rPr>
              <w:t>表九： “三公”经费预算表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46" w:type="dxa"/>
            <w:gridSpan w:val="6"/>
            <w:tcBorders>
              <w:top w:val="nil"/>
              <w:left w:val="nil"/>
              <w:bottom w:val="single" w:color="auto" w:sz="4" w:space="0"/>
              <w:right w:val="nil"/>
            </w:tcBorders>
            <w:vAlign w:val="bottom"/>
          </w:tcPr>
          <w:p>
            <w:pPr>
              <w:pStyle w:val="8"/>
              <w:keepNext/>
              <w:ind w:right="3"/>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3" w:hRule="atLeast"/>
          <w:jc w:val="center"/>
        </w:trPr>
        <w:tc>
          <w:tcPr>
            <w:tcW w:w="2414" w:type="dxa"/>
            <w:vMerge w:val="restart"/>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Arial"/>
                <w:color w:val="auto"/>
                <w:kern w:val="0"/>
                <w:szCs w:val="21"/>
              </w:rPr>
              <w:t>单位名称</w:t>
            </w:r>
          </w:p>
        </w:tc>
        <w:tc>
          <w:tcPr>
            <w:tcW w:w="1680" w:type="dxa"/>
            <w:vMerge w:val="restart"/>
            <w:tcBorders>
              <w:top w:val="single" w:color="auto" w:sz="4" w:space="0"/>
            </w:tcBorders>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“三公”经费财政拨款预算总额</w:t>
            </w:r>
          </w:p>
        </w:tc>
        <w:tc>
          <w:tcPr>
            <w:tcW w:w="1260" w:type="dxa"/>
            <w:vMerge w:val="restart"/>
            <w:tcBorders>
              <w:top w:val="single" w:color="auto" w:sz="4" w:space="0"/>
            </w:tcBorders>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因公出国（境）费</w:t>
            </w:r>
          </w:p>
        </w:tc>
        <w:tc>
          <w:tcPr>
            <w:tcW w:w="980" w:type="dxa"/>
            <w:vMerge w:val="restart"/>
            <w:tcBorders>
              <w:top w:val="single" w:color="auto" w:sz="4" w:space="0"/>
            </w:tcBorders>
            <w:vAlign w:val="center"/>
          </w:tcPr>
          <w:p>
            <w:pPr>
              <w:pStyle w:val="8"/>
              <w:keepNext/>
              <w:jc w:val="center"/>
              <w:rPr>
                <w:rFonts w:ascii="宋体" w:hAnsi="宋体" w:cs="Arial"/>
                <w:color w:val="auto"/>
                <w:kern w:val="0"/>
                <w:szCs w:val="21"/>
              </w:rPr>
            </w:pPr>
            <w:r>
              <w:rPr>
                <w:rFonts w:hint="eastAsia" w:ascii="宋体" w:hAnsi="宋体" w:cs="Arial"/>
                <w:color w:val="auto"/>
                <w:kern w:val="0"/>
                <w:szCs w:val="21"/>
              </w:rPr>
              <w:t>公务接待费</w:t>
            </w:r>
          </w:p>
        </w:tc>
        <w:tc>
          <w:tcPr>
            <w:tcW w:w="3112" w:type="dxa"/>
            <w:gridSpan w:val="2"/>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Arial"/>
                <w:color w:val="auto"/>
                <w:kern w:val="0"/>
                <w:szCs w:val="21"/>
              </w:rPr>
              <w:t>公务用车购置及运行维护费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2" w:hRule="atLeast"/>
          <w:jc w:val="center"/>
        </w:trPr>
        <w:tc>
          <w:tcPr>
            <w:tcW w:w="2414" w:type="dxa"/>
            <w:vMerge w:val="continue"/>
            <w:vAlign w:val="center"/>
          </w:tcPr>
          <w:p>
            <w:pPr>
              <w:pStyle w:val="8"/>
              <w:keepNext/>
              <w:jc w:val="center"/>
              <w:rPr>
                <w:rFonts w:hint="eastAsia" w:ascii="宋体" w:hAnsi="宋体" w:cs="Arial"/>
                <w:color w:val="auto"/>
                <w:kern w:val="0"/>
                <w:szCs w:val="21"/>
              </w:rPr>
            </w:pPr>
          </w:p>
        </w:tc>
        <w:tc>
          <w:tcPr>
            <w:tcW w:w="1680" w:type="dxa"/>
            <w:vMerge w:val="continue"/>
            <w:vAlign w:val="center"/>
          </w:tcPr>
          <w:p>
            <w:pPr>
              <w:pStyle w:val="8"/>
              <w:keepNext/>
              <w:jc w:val="center"/>
              <w:rPr>
                <w:rFonts w:hint="eastAsia" w:ascii="宋体" w:hAnsi="宋体" w:cs="Arial"/>
                <w:color w:val="auto"/>
                <w:kern w:val="0"/>
                <w:szCs w:val="21"/>
              </w:rPr>
            </w:pPr>
          </w:p>
        </w:tc>
        <w:tc>
          <w:tcPr>
            <w:tcW w:w="1260" w:type="dxa"/>
            <w:vMerge w:val="continue"/>
            <w:vAlign w:val="center"/>
          </w:tcPr>
          <w:p>
            <w:pPr>
              <w:pStyle w:val="8"/>
              <w:keepNext/>
              <w:jc w:val="center"/>
              <w:rPr>
                <w:rFonts w:hint="eastAsia" w:ascii="宋体" w:hAnsi="宋体" w:cs="Arial"/>
                <w:color w:val="auto"/>
                <w:kern w:val="0"/>
                <w:szCs w:val="21"/>
              </w:rPr>
            </w:pPr>
          </w:p>
        </w:tc>
        <w:tc>
          <w:tcPr>
            <w:tcW w:w="980" w:type="dxa"/>
            <w:vMerge w:val="continue"/>
            <w:vAlign w:val="center"/>
          </w:tcPr>
          <w:p>
            <w:pPr>
              <w:pStyle w:val="8"/>
              <w:keepNext/>
              <w:jc w:val="center"/>
              <w:rPr>
                <w:rFonts w:hint="eastAsia" w:ascii="宋体" w:hAnsi="宋体" w:cs="Arial"/>
                <w:color w:val="auto"/>
                <w:kern w:val="0"/>
                <w:szCs w:val="21"/>
              </w:rPr>
            </w:pPr>
          </w:p>
        </w:tc>
        <w:tc>
          <w:tcPr>
            <w:tcW w:w="1436" w:type="dxa"/>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Arial"/>
                <w:color w:val="auto"/>
                <w:kern w:val="0"/>
                <w:szCs w:val="21"/>
              </w:rPr>
              <w:t>公务用车购置费</w:t>
            </w:r>
          </w:p>
        </w:tc>
        <w:tc>
          <w:tcPr>
            <w:tcW w:w="1676" w:type="dxa"/>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Arial"/>
                <w:color w:val="auto"/>
                <w:kern w:val="0"/>
                <w:szCs w:val="21"/>
              </w:rPr>
              <w:t>公务用车运行维护费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2414" w:type="dxa"/>
            <w:vAlign w:val="center"/>
          </w:tcPr>
          <w:p>
            <w:pPr>
              <w:pStyle w:val="8"/>
              <w:keepNext/>
              <w:jc w:val="left"/>
              <w:rPr>
                <w:rFonts w:ascii="宋体" w:hAnsi="宋体" w:cs="Arial"/>
                <w:color w:val="auto"/>
                <w:kern w:val="0"/>
                <w:szCs w:val="21"/>
              </w:rPr>
            </w:pPr>
            <w:r>
              <w:rPr>
                <w:rFonts w:hint="eastAsia" w:ascii="宋体" w:hAnsi="宋体" w:cs="Arial"/>
                <w:color w:val="auto"/>
                <w:kern w:val="0"/>
                <w:szCs w:val="21"/>
              </w:rPr>
              <w:t>福田区文学艺术界联合会</w:t>
            </w:r>
          </w:p>
        </w:tc>
        <w:tc>
          <w:tcPr>
            <w:tcW w:w="1680" w:type="dxa"/>
            <w:vAlign w:val="bottom"/>
          </w:tcPr>
          <w:p>
            <w:pPr>
              <w:pStyle w:val="8"/>
              <w:keepNext/>
              <w:jc w:val="right"/>
              <w:rPr>
                <w:rFonts w:ascii="宋体" w:hAnsi="宋体" w:cs="Arial"/>
                <w:color w:val="auto"/>
                <w:kern w:val="0"/>
                <w:szCs w:val="21"/>
              </w:rPr>
            </w:pPr>
            <w:r>
              <w:rPr>
                <w:rFonts w:ascii="宋体" w:hAnsi="宋体" w:cs="Arial"/>
                <w:color w:val="auto"/>
                <w:kern w:val="0"/>
                <w:szCs w:val="21"/>
              </w:rPr>
              <w:t>3.9</w:t>
            </w:r>
          </w:p>
        </w:tc>
        <w:tc>
          <w:tcPr>
            <w:tcW w:w="1260" w:type="dxa"/>
            <w:vAlign w:val="bottom"/>
          </w:tcPr>
          <w:p>
            <w:pPr>
              <w:pStyle w:val="8"/>
              <w:keepNext/>
              <w:jc w:val="right"/>
              <w:rPr>
                <w:rFonts w:ascii="宋体" w:hAnsi="宋体" w:cs="Arial"/>
                <w:color w:val="auto"/>
                <w:kern w:val="0"/>
                <w:szCs w:val="21"/>
              </w:rPr>
            </w:pPr>
          </w:p>
        </w:tc>
        <w:tc>
          <w:tcPr>
            <w:tcW w:w="980" w:type="dxa"/>
            <w:vAlign w:val="bottom"/>
          </w:tcPr>
          <w:p>
            <w:pPr>
              <w:pStyle w:val="8"/>
              <w:keepNext/>
              <w:jc w:val="right"/>
              <w:rPr>
                <w:rFonts w:hint="eastAsia" w:ascii="宋体" w:hAnsi="宋体" w:cs="Arial"/>
                <w:color w:val="auto"/>
                <w:kern w:val="0"/>
                <w:szCs w:val="21"/>
              </w:rPr>
            </w:pPr>
            <w:r>
              <w:rPr>
                <w:rFonts w:ascii="宋体" w:hAnsi="宋体" w:cs="Arial"/>
                <w:color w:val="auto"/>
                <w:kern w:val="0"/>
                <w:szCs w:val="21"/>
              </w:rPr>
              <w:t xml:space="preserve"> </w:t>
            </w:r>
          </w:p>
        </w:tc>
        <w:tc>
          <w:tcPr>
            <w:tcW w:w="1436" w:type="dxa"/>
            <w:vAlign w:val="bottom"/>
          </w:tcPr>
          <w:p>
            <w:pPr>
              <w:pStyle w:val="8"/>
              <w:keepNext/>
              <w:jc w:val="right"/>
              <w:rPr>
                <w:rFonts w:ascii="宋体" w:hAnsi="宋体" w:cs="Arial"/>
                <w:color w:val="auto"/>
                <w:kern w:val="0"/>
                <w:szCs w:val="21"/>
              </w:rPr>
            </w:pPr>
          </w:p>
        </w:tc>
        <w:tc>
          <w:tcPr>
            <w:tcW w:w="1676" w:type="dxa"/>
            <w:vAlign w:val="bottom"/>
          </w:tcPr>
          <w:p>
            <w:pPr>
              <w:pStyle w:val="8"/>
              <w:keepNext/>
              <w:jc w:val="right"/>
              <w:rPr>
                <w:rFonts w:ascii="宋体" w:hAnsi="宋体" w:cs="Arial"/>
                <w:color w:val="auto"/>
                <w:kern w:val="0"/>
                <w:szCs w:val="21"/>
              </w:rPr>
            </w:pPr>
            <w:r>
              <w:rPr>
                <w:rFonts w:ascii="宋体" w:hAnsi="宋体" w:cs="Arial"/>
                <w:color w:val="auto"/>
                <w:kern w:val="0"/>
                <w:szCs w:val="21"/>
              </w:rPr>
              <w:t>3.9</w:t>
            </w:r>
          </w:p>
        </w:tc>
      </w:tr>
    </w:tbl>
    <w:p>
      <w:pPr>
        <w:rPr>
          <w:rFonts w:hint="eastAsia" w:ascii="宋体" w:hAnsi="宋体" w:eastAsia="宋体"/>
          <w:color w:val="auto"/>
          <w:sz w:val="21"/>
          <w:szCs w:val="21"/>
        </w:rPr>
      </w:pPr>
      <w:r>
        <w:rPr>
          <w:rFonts w:hint="eastAsia" w:ascii="宋体" w:hAnsi="宋体" w:eastAsia="宋体"/>
          <w:color w:val="auto"/>
          <w:sz w:val="21"/>
          <w:szCs w:val="21"/>
        </w:rPr>
        <w:t>备注：因公出国(境)经费由区外事办和财政局统筹管理,调配使用,各单位不单独列报。</w:t>
      </w:r>
    </w:p>
    <w:p>
      <w:pPr>
        <w:rPr>
          <w:rFonts w:hint="eastAsia" w:ascii="宋体" w:hAnsi="宋体" w:eastAsia="宋体"/>
          <w:color w:val="auto"/>
          <w:sz w:val="21"/>
          <w:szCs w:val="21"/>
        </w:rPr>
      </w:pPr>
    </w:p>
    <w:tbl>
      <w:tblPr>
        <w:tblStyle w:val="5"/>
        <w:tblW w:w="945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2940"/>
        <w:gridCol w:w="2940"/>
        <w:gridCol w:w="1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4"/>
            <w:tcBorders>
              <w:top w:val="nil"/>
              <w:left w:val="nil"/>
              <w:bottom w:val="nil"/>
              <w:right w:val="nil"/>
            </w:tcBorders>
            <w:shd w:val="clear" w:color="auto" w:fill="FFFFFF"/>
            <w:vAlign w:val="center"/>
          </w:tcPr>
          <w:p>
            <w:pPr>
              <w:pStyle w:val="9"/>
              <w:keepNext/>
              <w:jc w:val="center"/>
              <w:rPr>
                <w:rFonts w:ascii="宋体" w:hAnsi="宋体" w:eastAsia="宋体" w:cs="Arial"/>
                <w:color w:val="auto"/>
                <w:kern w:val="0"/>
                <w:sz w:val="21"/>
                <w:szCs w:val="21"/>
              </w:rPr>
            </w:pPr>
            <w:r>
              <w:rPr>
                <w:rFonts w:hint="eastAsia" w:ascii="宋体" w:hAnsi="宋体" w:eastAsia="宋体"/>
                <w:bCs/>
                <w:color w:val="auto"/>
                <w:sz w:val="21"/>
                <w:szCs w:val="21"/>
              </w:rPr>
              <w:t>表十：</w:t>
            </w:r>
            <w:r>
              <w:rPr>
                <w:rFonts w:ascii="宋体" w:hAnsi="宋体" w:eastAsia="宋体" w:cs="宋体"/>
                <w:color w:val="auto"/>
                <w:sz w:val="21"/>
                <w:szCs w:val="21"/>
              </w:rPr>
              <w:t>政府性基金预算支出表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9454" w:type="dxa"/>
            <w:gridSpan w:val="4"/>
            <w:tcBorders>
              <w:top w:val="nil"/>
              <w:left w:val="nil"/>
              <w:bottom w:val="single" w:color="auto" w:sz="4" w:space="0"/>
              <w:right w:val="nil"/>
            </w:tcBorders>
            <w:vAlign w:val="bottom"/>
          </w:tcPr>
          <w:p>
            <w:pPr>
              <w:pStyle w:val="8"/>
              <w:keepNext/>
              <w:ind w:right="3"/>
              <w:jc w:val="right"/>
              <w:rPr>
                <w:rFonts w:hint="eastAsia" w:ascii="宋体" w:hAnsi="宋体" w:cs="Arial"/>
                <w:color w:val="auto"/>
                <w:kern w:val="0"/>
                <w:szCs w:val="21"/>
              </w:rPr>
            </w:pPr>
            <w:r>
              <w:rPr>
                <w:rFonts w:hint="eastAsia" w:ascii="宋体" w:hAnsi="宋体"/>
                <w:color w:val="auto"/>
                <w:szCs w:val="21"/>
              </w:rPr>
              <w:t xml:space="preserve">单位：万元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3" w:hRule="atLeast"/>
          <w:jc w:val="center"/>
        </w:trPr>
        <w:tc>
          <w:tcPr>
            <w:tcW w:w="1998" w:type="dxa"/>
            <w:tcBorders>
              <w:top w:val="single" w:color="auto" w:sz="4" w:space="0"/>
            </w:tcBorders>
            <w:vAlign w:val="center"/>
          </w:tcPr>
          <w:p>
            <w:pPr>
              <w:pStyle w:val="8"/>
              <w:keepNext/>
              <w:jc w:val="center"/>
              <w:rPr>
                <w:rFonts w:hint="eastAsia" w:ascii="宋体" w:hAnsi="宋体" w:cs="Arial"/>
                <w:color w:val="auto"/>
                <w:kern w:val="0"/>
                <w:szCs w:val="21"/>
              </w:rPr>
            </w:pPr>
            <w:r>
              <w:rPr>
                <w:rFonts w:hint="eastAsia" w:ascii="宋体" w:hAnsi="宋体" w:cs="Courier New"/>
                <w:color w:val="auto"/>
                <w:kern w:val="0"/>
                <w:szCs w:val="21"/>
              </w:rPr>
              <w:t>科目编码</w:t>
            </w:r>
          </w:p>
        </w:tc>
        <w:tc>
          <w:tcPr>
            <w:tcW w:w="2940"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科目名称</w:t>
            </w:r>
          </w:p>
        </w:tc>
        <w:tc>
          <w:tcPr>
            <w:tcW w:w="2940" w:type="dxa"/>
            <w:tcBorders>
              <w:top w:val="single" w:color="auto" w:sz="4" w:space="0"/>
            </w:tcBorders>
            <w:vAlign w:val="center"/>
          </w:tcPr>
          <w:p>
            <w:pPr>
              <w:pStyle w:val="8"/>
              <w:jc w:val="center"/>
              <w:rPr>
                <w:rFonts w:hint="eastAsia" w:ascii="宋体" w:hAnsi="宋体" w:cs="Arial"/>
                <w:color w:val="auto"/>
                <w:kern w:val="0"/>
                <w:szCs w:val="21"/>
              </w:rPr>
            </w:pPr>
            <w:r>
              <w:rPr>
                <w:rFonts w:hint="eastAsia" w:ascii="宋体" w:hAnsi="宋体" w:cs="Arial"/>
                <w:color w:val="auto"/>
                <w:kern w:val="0"/>
                <w:szCs w:val="21"/>
              </w:rPr>
              <w:t>项目名称</w:t>
            </w:r>
          </w:p>
        </w:tc>
        <w:tc>
          <w:tcPr>
            <w:tcW w:w="1576" w:type="dxa"/>
            <w:tcBorders>
              <w:top w:val="single" w:color="auto" w:sz="4" w:space="0"/>
            </w:tcBorders>
            <w:vAlign w:val="center"/>
          </w:tcPr>
          <w:p>
            <w:pPr>
              <w:pStyle w:val="8"/>
              <w:jc w:val="center"/>
              <w:rPr>
                <w:rFonts w:ascii="宋体" w:hAnsi="宋体" w:cs="Arial"/>
                <w:color w:val="auto"/>
                <w:kern w:val="0"/>
                <w:szCs w:val="21"/>
              </w:rPr>
            </w:pPr>
            <w:r>
              <w:rPr>
                <w:rFonts w:hint="eastAsia" w:ascii="宋体" w:hAnsi="宋体" w:cs="Arial"/>
                <w:color w:val="auto"/>
                <w:kern w:val="0"/>
                <w:szCs w:val="21"/>
              </w:rPr>
              <w:t>预算数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 w:hRule="atLeast"/>
          <w:jc w:val="center"/>
        </w:trPr>
        <w:tc>
          <w:tcPr>
            <w:tcW w:w="1998" w:type="dxa"/>
            <w:vAlign w:val="center"/>
          </w:tcPr>
          <w:p>
            <w:pPr>
              <w:pStyle w:val="8"/>
              <w:keepNext/>
              <w:jc w:val="left"/>
              <w:rPr>
                <w:rFonts w:ascii="宋体" w:hAnsi="宋体" w:cs="Arial"/>
                <w:color w:val="auto"/>
                <w:kern w:val="0"/>
                <w:szCs w:val="21"/>
              </w:rPr>
            </w:pPr>
          </w:p>
        </w:tc>
        <w:tc>
          <w:tcPr>
            <w:tcW w:w="2940" w:type="dxa"/>
            <w:vAlign w:val="center"/>
          </w:tcPr>
          <w:p>
            <w:pPr>
              <w:pStyle w:val="8"/>
              <w:keepNext/>
              <w:jc w:val="left"/>
              <w:rPr>
                <w:rFonts w:ascii="宋体" w:hAnsi="宋体" w:cs="Arial"/>
                <w:color w:val="auto"/>
                <w:kern w:val="0"/>
                <w:szCs w:val="21"/>
              </w:rPr>
            </w:pPr>
          </w:p>
        </w:tc>
        <w:tc>
          <w:tcPr>
            <w:tcW w:w="2940" w:type="dxa"/>
            <w:vAlign w:val="bottom"/>
          </w:tcPr>
          <w:p>
            <w:pPr>
              <w:pStyle w:val="8"/>
              <w:keepNext/>
              <w:jc w:val="right"/>
              <w:rPr>
                <w:rFonts w:ascii="宋体" w:hAnsi="宋体" w:cs="Arial"/>
                <w:color w:val="auto"/>
                <w:kern w:val="0"/>
                <w:szCs w:val="21"/>
              </w:rPr>
            </w:pPr>
          </w:p>
        </w:tc>
        <w:tc>
          <w:tcPr>
            <w:tcW w:w="1576" w:type="dxa"/>
            <w:vAlign w:val="center"/>
          </w:tcPr>
          <w:p>
            <w:pPr>
              <w:pStyle w:val="8"/>
              <w:keepNext/>
              <w:jc w:val="right"/>
              <w:rPr>
                <w:rFonts w:ascii="宋体" w:hAnsi="宋体" w:cs="Arial"/>
                <w:color w:val="auto"/>
                <w:kern w:val="0"/>
                <w:szCs w:val="21"/>
              </w:rPr>
            </w:pPr>
          </w:p>
        </w:tc>
      </w:tr>
    </w:tbl>
    <w:p>
      <w:pPr>
        <w:rPr>
          <w:rFonts w:hint="eastAsia" w:ascii="宋体" w:hAnsi="宋体" w:eastAsia="宋体"/>
          <w:color w:val="auto"/>
          <w:sz w:val="21"/>
          <w:szCs w:val="21"/>
        </w:rPr>
      </w:pPr>
    </w:p>
    <w:p>
      <w:pPr>
        <w:widowControl/>
        <w:jc w:val="center"/>
        <w:textAlignment w:val="center"/>
        <w:rPr>
          <w:rFonts w:ascii="宋体" w:hAnsi="宋体" w:eastAsia="宋体"/>
          <w:bCs/>
          <w:color w:val="auto"/>
          <w:sz w:val="21"/>
          <w:szCs w:val="21"/>
        </w:rPr>
      </w:pPr>
      <w:r>
        <w:rPr>
          <w:rFonts w:hint="eastAsia" w:ascii="宋体" w:hAnsi="宋体" w:eastAsia="宋体"/>
          <w:bCs/>
          <w:color w:val="auto"/>
          <w:sz w:val="21"/>
          <w:szCs w:val="21"/>
        </w:rPr>
        <w:t>表十一：国有资本经营预算支出情况表</w:t>
      </w:r>
    </w:p>
    <w:p>
      <w:pPr>
        <w:widowControl/>
        <w:jc w:val="center"/>
        <w:textAlignment w:val="center"/>
        <w:rPr>
          <w:rFonts w:ascii="宋体" w:hAnsi="宋体" w:eastAsia="宋体"/>
          <w:color w:val="auto"/>
          <w:sz w:val="21"/>
          <w:szCs w:val="21"/>
        </w:rPr>
      </w:pPr>
      <w:r>
        <w:rPr>
          <w:rFonts w:hint="eastAsia" w:ascii="宋体" w:hAnsi="宋体" w:eastAsia="宋体"/>
          <w:color w:val="auto"/>
          <w:sz w:val="21"/>
          <w:szCs w:val="21"/>
          <w:lang w:val="en-US" w:eastAsia="zh-CN"/>
        </w:rPr>
        <w:t xml:space="preserve">                                                                      </w:t>
      </w:r>
      <w:r>
        <w:rPr>
          <w:rFonts w:hint="eastAsia" w:ascii="宋体" w:hAnsi="宋体" w:eastAsia="宋体"/>
          <w:color w:val="auto"/>
          <w:sz w:val="21"/>
          <w:szCs w:val="21"/>
        </w:rPr>
        <w:t>单位：万元</w:t>
      </w:r>
    </w:p>
    <w:tbl>
      <w:tblPr>
        <w:tblStyle w:val="5"/>
        <w:tblW w:w="9420" w:type="dxa"/>
        <w:tblInd w:w="-542" w:type="dxa"/>
        <w:tblLayout w:type="fixed"/>
        <w:tblCellMar>
          <w:top w:w="15" w:type="dxa"/>
          <w:left w:w="15" w:type="dxa"/>
          <w:bottom w:w="15" w:type="dxa"/>
          <w:right w:w="15" w:type="dxa"/>
        </w:tblCellMar>
      </w:tblPr>
      <w:tblGrid>
        <w:gridCol w:w="2490"/>
        <w:gridCol w:w="2194"/>
        <w:gridCol w:w="1632"/>
        <w:gridCol w:w="1211"/>
        <w:gridCol w:w="1893"/>
      </w:tblGrid>
      <w:tr>
        <w:tblPrEx>
          <w:tblLayout w:type="fixed"/>
          <w:tblCellMar>
            <w:top w:w="15" w:type="dxa"/>
            <w:left w:w="15" w:type="dxa"/>
            <w:bottom w:w="15" w:type="dxa"/>
            <w:right w:w="15" w:type="dxa"/>
          </w:tblCellMar>
        </w:tblPrEx>
        <w:trPr>
          <w:trHeight w:val="495" w:hRule="atLeast"/>
        </w:trPr>
        <w:tc>
          <w:tcPr>
            <w:tcW w:w="249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科目编码</w:t>
            </w:r>
          </w:p>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（按支出功能科目编列至“项”级）</w:t>
            </w:r>
          </w:p>
        </w:tc>
        <w:tc>
          <w:tcPr>
            <w:tcW w:w="21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科目名称</w:t>
            </w:r>
          </w:p>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（按支出功能科目编列至“项”级）</w:t>
            </w:r>
          </w:p>
        </w:tc>
        <w:tc>
          <w:tcPr>
            <w:tcW w:w="1632"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支出总计</w:t>
            </w:r>
          </w:p>
        </w:tc>
        <w:tc>
          <w:tcPr>
            <w:tcW w:w="121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基本支出</w:t>
            </w:r>
          </w:p>
        </w:tc>
        <w:tc>
          <w:tcPr>
            <w:tcW w:w="1893"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Courier New"/>
                <w:color w:val="auto"/>
                <w:kern w:val="0"/>
                <w:sz w:val="21"/>
                <w:szCs w:val="21"/>
              </w:rPr>
            </w:pPr>
            <w:r>
              <w:rPr>
                <w:rFonts w:hint="eastAsia" w:ascii="宋体" w:hAnsi="宋体" w:eastAsia="宋体" w:cs="Courier New"/>
                <w:color w:val="auto"/>
                <w:kern w:val="0"/>
                <w:sz w:val="21"/>
                <w:szCs w:val="21"/>
              </w:rPr>
              <w:t>项目支出</w:t>
            </w:r>
          </w:p>
        </w:tc>
      </w:tr>
      <w:tr>
        <w:tblPrEx>
          <w:tblLayout w:type="fixed"/>
          <w:tblCellMar>
            <w:top w:w="15" w:type="dxa"/>
            <w:left w:w="15" w:type="dxa"/>
            <w:bottom w:w="15" w:type="dxa"/>
            <w:right w:w="15" w:type="dxa"/>
          </w:tblCellMar>
        </w:tblPrEx>
        <w:trPr>
          <w:trHeight w:val="495" w:hRule="atLeast"/>
        </w:trPr>
        <w:tc>
          <w:tcPr>
            <w:tcW w:w="249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auto"/>
                <w:kern w:val="0"/>
                <w:sz w:val="20"/>
                <w:szCs w:val="20"/>
              </w:rPr>
            </w:pPr>
          </w:p>
        </w:tc>
        <w:tc>
          <w:tcPr>
            <w:tcW w:w="21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eastAsia="宋体" w:cs="宋体"/>
                <w:color w:val="auto"/>
                <w:kern w:val="0"/>
                <w:sz w:val="20"/>
                <w:szCs w:val="20"/>
              </w:rPr>
            </w:pPr>
          </w:p>
        </w:tc>
        <w:tc>
          <w:tcPr>
            <w:tcW w:w="1632"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1211"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1893"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r>
      <w:tr>
        <w:tblPrEx>
          <w:tblLayout w:type="fixed"/>
          <w:tblCellMar>
            <w:top w:w="15" w:type="dxa"/>
            <w:left w:w="15" w:type="dxa"/>
            <w:bottom w:w="15" w:type="dxa"/>
            <w:right w:w="15" w:type="dxa"/>
          </w:tblCellMar>
        </w:tblPrEx>
        <w:trPr>
          <w:trHeight w:val="525" w:hRule="atLeast"/>
        </w:trPr>
        <w:tc>
          <w:tcPr>
            <w:tcW w:w="249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219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1632"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121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c>
          <w:tcPr>
            <w:tcW w:w="1893"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auto"/>
                <w:kern w:val="0"/>
                <w:sz w:val="20"/>
                <w:szCs w:val="20"/>
              </w:rPr>
            </w:pPr>
          </w:p>
        </w:tc>
      </w:tr>
    </w:tbl>
    <w:p>
      <w:pPr>
        <w:rPr>
          <w:color w:val="auto"/>
        </w:rPr>
      </w:pPr>
    </w:p>
    <w:p>
      <w:pPr>
        <w:pStyle w:val="8"/>
        <w:keepNext/>
        <w:ind w:firstLine="2730" w:firstLineChars="1300"/>
        <w:jc w:val="left"/>
        <w:rPr>
          <w:rFonts w:ascii="宋体" w:cs="Arial"/>
          <w:color w:val="auto"/>
          <w:kern w:val="0"/>
          <w:szCs w:val="21"/>
        </w:rPr>
      </w:pPr>
      <w:r>
        <w:rPr>
          <w:rFonts w:hint="eastAsia" w:ascii="宋体" w:hAnsi="宋体" w:cs="Arial"/>
          <w:color w:val="auto"/>
          <w:kern w:val="0"/>
          <w:szCs w:val="21"/>
        </w:rPr>
        <w:t>表十</w:t>
      </w:r>
      <w:r>
        <w:rPr>
          <w:rFonts w:hint="eastAsia" w:ascii="宋体" w:hAnsi="宋体" w:cs="Arial"/>
          <w:color w:val="auto"/>
          <w:kern w:val="0"/>
          <w:szCs w:val="21"/>
          <w:lang w:eastAsia="zh-CN"/>
        </w:rPr>
        <w:t>三</w:t>
      </w:r>
      <w:r>
        <w:rPr>
          <w:rFonts w:ascii="宋体" w:hAnsi="宋体" w:cs="Arial"/>
          <w:color w:val="auto"/>
          <w:kern w:val="0"/>
          <w:szCs w:val="21"/>
        </w:rPr>
        <w:t>:</w:t>
      </w:r>
      <w:r>
        <w:rPr>
          <w:rFonts w:hint="eastAsia" w:ascii="宋体" w:hAnsi="宋体" w:cs="Arial"/>
          <w:color w:val="auto"/>
          <w:kern w:val="0"/>
          <w:szCs w:val="21"/>
        </w:rPr>
        <w:t>部门预算绩效管理项目情况表</w:t>
      </w:r>
    </w:p>
    <w:p>
      <w:pPr>
        <w:pStyle w:val="8"/>
        <w:keepNext/>
        <w:ind w:left="7350" w:leftChars="825" w:hanging="5040" w:hangingChars="2400"/>
        <w:jc w:val="left"/>
        <w:rPr>
          <w:rFonts w:ascii="宋体" w:cs="Arial"/>
          <w:color w:val="auto"/>
          <w:kern w:val="0"/>
          <w:szCs w:val="21"/>
        </w:rPr>
      </w:pPr>
      <w:r>
        <w:rPr>
          <w:rFonts w:ascii="宋体" w:hAnsi="宋体" w:cs="Arial"/>
          <w:color w:val="auto"/>
          <w:kern w:val="0"/>
          <w:szCs w:val="21"/>
        </w:rPr>
        <w:t xml:space="preserve">                          </w:t>
      </w:r>
      <w:r>
        <w:rPr>
          <w:rFonts w:hint="eastAsia" w:ascii="宋体" w:hAnsi="宋体" w:cs="Arial"/>
          <w:color w:val="auto"/>
          <w:kern w:val="0"/>
          <w:szCs w:val="21"/>
          <w:lang w:val="en-US" w:eastAsia="zh-CN"/>
        </w:rPr>
        <w:t xml:space="preserve">      </w:t>
      </w:r>
      <w:r>
        <w:rPr>
          <w:rFonts w:ascii="宋体" w:hAnsi="宋体" w:cs="Arial"/>
          <w:color w:val="auto"/>
          <w:kern w:val="0"/>
          <w:szCs w:val="21"/>
        </w:rPr>
        <w:t xml:space="preserve">                </w:t>
      </w:r>
      <w:r>
        <w:rPr>
          <w:rFonts w:hint="eastAsia" w:ascii="宋体" w:hAnsi="宋体" w:cs="Arial"/>
          <w:color w:val="auto"/>
          <w:kern w:val="0"/>
          <w:szCs w:val="21"/>
        </w:rPr>
        <w:t>单位：万元</w:t>
      </w:r>
    </w:p>
    <w:tbl>
      <w:tblPr>
        <w:tblStyle w:val="5"/>
        <w:tblW w:w="9435" w:type="dxa"/>
        <w:tblInd w:w="-527" w:type="dxa"/>
        <w:tblLayout w:type="fixed"/>
        <w:tblCellMar>
          <w:top w:w="15" w:type="dxa"/>
          <w:left w:w="15" w:type="dxa"/>
          <w:bottom w:w="15" w:type="dxa"/>
          <w:right w:w="15" w:type="dxa"/>
        </w:tblCellMar>
      </w:tblPr>
      <w:tblGrid>
        <w:gridCol w:w="1965"/>
        <w:gridCol w:w="1268"/>
        <w:gridCol w:w="1672"/>
        <w:gridCol w:w="1410"/>
        <w:gridCol w:w="3120"/>
      </w:tblGrid>
      <w:tr>
        <w:tblPrEx>
          <w:tblLayout w:type="fixed"/>
          <w:tblCellMar>
            <w:top w:w="15" w:type="dxa"/>
            <w:left w:w="15" w:type="dxa"/>
            <w:bottom w:w="15" w:type="dxa"/>
            <w:right w:w="15" w:type="dxa"/>
          </w:tblCellMar>
        </w:tblPrEx>
        <w:trPr>
          <w:trHeight w:val="480" w:hRule="atLeast"/>
        </w:trPr>
        <w:tc>
          <w:tcPr>
            <w:tcW w:w="1965"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项目名称</w:t>
            </w:r>
          </w:p>
        </w:tc>
        <w:tc>
          <w:tcPr>
            <w:tcW w:w="4350" w:type="dxa"/>
            <w:gridSpan w:val="3"/>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预算金额</w:t>
            </w:r>
          </w:p>
        </w:tc>
        <w:tc>
          <w:tcPr>
            <w:tcW w:w="3120" w:type="dxa"/>
            <w:vMerge w:val="restart"/>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预算执行时间</w:t>
            </w:r>
          </w:p>
        </w:tc>
      </w:tr>
      <w:tr>
        <w:tblPrEx>
          <w:tblLayout w:type="fixed"/>
          <w:tblCellMar>
            <w:top w:w="15" w:type="dxa"/>
            <w:left w:w="15" w:type="dxa"/>
            <w:bottom w:w="15" w:type="dxa"/>
            <w:right w:w="15" w:type="dxa"/>
          </w:tblCellMar>
        </w:tblPrEx>
        <w:trPr>
          <w:trHeight w:val="525" w:hRule="atLeast"/>
        </w:trPr>
        <w:tc>
          <w:tcPr>
            <w:tcW w:w="1965"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rPr>
                <w:rFonts w:ascii="宋体" w:hAnsi="宋体" w:eastAsia="宋体" w:cs="宋体"/>
                <w:color w:val="auto"/>
                <w:sz w:val="20"/>
                <w:szCs w:val="20"/>
              </w:rPr>
            </w:pPr>
          </w:p>
        </w:tc>
        <w:tc>
          <w:tcPr>
            <w:tcW w:w="1268"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合计</w:t>
            </w:r>
          </w:p>
        </w:tc>
        <w:tc>
          <w:tcPr>
            <w:tcW w:w="1672"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一般公共</w:t>
            </w:r>
            <w:r>
              <w:rPr>
                <w:rFonts w:ascii="宋体" w:hAnsi="宋体" w:eastAsia="宋体" w:cs="宋体"/>
                <w:color w:val="auto"/>
                <w:kern w:val="0"/>
                <w:sz w:val="20"/>
                <w:szCs w:val="20"/>
              </w:rPr>
              <w:t xml:space="preserve"> </w:t>
            </w:r>
            <w:r>
              <w:rPr>
                <w:rFonts w:hint="eastAsia" w:ascii="宋体" w:hAnsi="宋体" w:eastAsia="宋体" w:cs="宋体"/>
                <w:color w:val="auto"/>
                <w:kern w:val="0"/>
                <w:sz w:val="20"/>
                <w:szCs w:val="20"/>
              </w:rPr>
              <w:t>预算拨款</w:t>
            </w:r>
          </w:p>
        </w:tc>
        <w:tc>
          <w:tcPr>
            <w:tcW w:w="1410" w:type="dxa"/>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其他资金</w:t>
            </w:r>
          </w:p>
        </w:tc>
        <w:tc>
          <w:tcPr>
            <w:tcW w:w="3120" w:type="dxa"/>
            <w:vMerge w:val="continue"/>
            <w:tcBorders>
              <w:top w:val="single" w:color="000000" w:sz="4" w:space="0"/>
              <w:left w:val="single" w:color="000000" w:sz="4" w:space="0"/>
              <w:bottom w:val="single" w:color="000000" w:sz="4" w:space="0"/>
              <w:right w:val="single" w:color="000000" w:sz="4" w:space="0"/>
            </w:tcBorders>
            <w:vAlign w:val="center"/>
          </w:tcPr>
          <w:p>
            <w:pPr>
              <w:widowControl/>
              <w:adjustRightInd w:val="0"/>
              <w:snapToGrid w:val="0"/>
              <w:jc w:val="right"/>
              <w:rPr>
                <w:rFonts w:ascii="宋体" w:hAnsi="宋体" w:eastAsia="宋体" w:cs="宋体"/>
                <w:color w:val="auto"/>
                <w:sz w:val="20"/>
                <w:szCs w:val="20"/>
              </w:rPr>
            </w:pPr>
          </w:p>
        </w:tc>
      </w:tr>
      <w:tr>
        <w:tblPrEx>
          <w:tblLayout w:type="fixed"/>
          <w:tblCellMar>
            <w:top w:w="15" w:type="dxa"/>
            <w:left w:w="15" w:type="dxa"/>
            <w:bottom w:w="15" w:type="dxa"/>
            <w:right w:w="15" w:type="dxa"/>
          </w:tblCellMar>
        </w:tblPrEx>
        <w:trPr>
          <w:trHeight w:val="390" w:hRule="atLeast"/>
        </w:trPr>
        <w:tc>
          <w:tcPr>
            <w:tcW w:w="1965" w:type="dxa"/>
            <w:tcBorders>
              <w:top w:val="single" w:color="000000" w:sz="4" w:space="0"/>
              <w:left w:val="single" w:color="000000" w:sz="4" w:space="0"/>
              <w:bottom w:val="single" w:color="000000" w:sz="4" w:space="0"/>
              <w:right w:val="single" w:color="000000" w:sz="4" w:space="0"/>
            </w:tcBorders>
            <w:vAlign w:val="center"/>
          </w:tcPr>
          <w:p>
            <w:pPr>
              <w:pStyle w:val="8"/>
              <w:keepNext/>
              <w:jc w:val="left"/>
              <w:rPr>
                <w:rFonts w:ascii="宋体" w:cs="Arial"/>
                <w:color w:val="auto"/>
                <w:kern w:val="0"/>
                <w:szCs w:val="21"/>
              </w:rPr>
            </w:pPr>
            <w:r>
              <w:rPr>
                <w:rFonts w:ascii="宋体" w:hAnsi="宋体"/>
                <w:color w:val="auto"/>
                <w:kern w:val="0"/>
                <w:szCs w:val="21"/>
              </w:rPr>
              <w:t>文艺创作与活动</w:t>
            </w:r>
          </w:p>
        </w:tc>
        <w:tc>
          <w:tcPr>
            <w:tcW w:w="1268"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hint="eastAsia" w:ascii="宋体" w:cs="Arial"/>
                <w:color w:val="auto"/>
                <w:kern w:val="0"/>
                <w:szCs w:val="21"/>
              </w:rPr>
            </w:pPr>
            <w:r>
              <w:rPr>
                <w:rFonts w:hint="eastAsia" w:ascii="宋体" w:cs="Arial"/>
                <w:color w:val="auto"/>
                <w:kern w:val="0"/>
                <w:szCs w:val="21"/>
              </w:rPr>
              <w:t>215</w:t>
            </w:r>
          </w:p>
        </w:tc>
        <w:tc>
          <w:tcPr>
            <w:tcW w:w="1672"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hint="eastAsia" w:ascii="宋体" w:cs="Arial"/>
                <w:color w:val="auto"/>
                <w:kern w:val="0"/>
                <w:szCs w:val="21"/>
              </w:rPr>
            </w:pPr>
            <w:r>
              <w:rPr>
                <w:rFonts w:hint="eastAsia" w:ascii="宋体" w:cs="Arial"/>
                <w:color w:val="auto"/>
                <w:kern w:val="0"/>
                <w:szCs w:val="21"/>
              </w:rPr>
              <w:t>215</w:t>
            </w:r>
          </w:p>
        </w:tc>
        <w:tc>
          <w:tcPr>
            <w:tcW w:w="141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ascii="宋体" w:cs="Arial"/>
                <w:color w:val="auto"/>
                <w:kern w:val="0"/>
                <w:szCs w:val="21"/>
              </w:rPr>
              <w:t>0</w:t>
            </w:r>
          </w:p>
        </w:tc>
        <w:tc>
          <w:tcPr>
            <w:tcW w:w="312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ascii="宋体" w:hAnsi="宋体" w:cs="Arial"/>
                <w:color w:val="auto"/>
                <w:kern w:val="0"/>
                <w:szCs w:val="21"/>
              </w:rPr>
              <w:t>2018.1.1-2018.12.31</w:t>
            </w:r>
          </w:p>
        </w:tc>
      </w:tr>
      <w:tr>
        <w:tblPrEx>
          <w:tblLayout w:type="fixed"/>
          <w:tblCellMar>
            <w:top w:w="15" w:type="dxa"/>
            <w:left w:w="15" w:type="dxa"/>
            <w:bottom w:w="15" w:type="dxa"/>
            <w:right w:w="15" w:type="dxa"/>
          </w:tblCellMar>
        </w:tblPrEx>
        <w:trPr>
          <w:trHeight w:val="390" w:hRule="atLeast"/>
        </w:trPr>
        <w:tc>
          <w:tcPr>
            <w:tcW w:w="1965" w:type="dxa"/>
            <w:tcBorders>
              <w:top w:val="single" w:color="000000" w:sz="4" w:space="0"/>
              <w:left w:val="single" w:color="000000" w:sz="4" w:space="0"/>
              <w:bottom w:val="single" w:color="000000" w:sz="4" w:space="0"/>
              <w:right w:val="single" w:color="000000" w:sz="4" w:space="0"/>
            </w:tcBorders>
            <w:vAlign w:val="center"/>
          </w:tcPr>
          <w:p>
            <w:pPr>
              <w:pStyle w:val="8"/>
              <w:keepNext/>
              <w:jc w:val="left"/>
              <w:rPr>
                <w:rFonts w:ascii="宋体" w:cs="Arial"/>
                <w:color w:val="auto"/>
                <w:kern w:val="0"/>
                <w:szCs w:val="21"/>
              </w:rPr>
            </w:pPr>
            <w:r>
              <w:rPr>
                <w:rFonts w:ascii="宋体" w:hAnsi="宋体"/>
                <w:color w:val="auto"/>
                <w:kern w:val="0"/>
                <w:szCs w:val="21"/>
              </w:rPr>
              <w:t>文艺交流与培训</w:t>
            </w:r>
          </w:p>
        </w:tc>
        <w:tc>
          <w:tcPr>
            <w:tcW w:w="1268"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hint="eastAsia" w:ascii="宋体" w:hAnsi="宋体" w:cs="Arial"/>
                <w:color w:val="auto"/>
                <w:kern w:val="0"/>
                <w:szCs w:val="21"/>
              </w:rPr>
              <w:t>66</w:t>
            </w:r>
          </w:p>
        </w:tc>
        <w:tc>
          <w:tcPr>
            <w:tcW w:w="1672"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hint="eastAsia" w:ascii="宋体" w:hAnsi="宋体" w:cs="Arial"/>
                <w:color w:val="auto"/>
                <w:kern w:val="0"/>
                <w:szCs w:val="21"/>
              </w:rPr>
              <w:t>66</w:t>
            </w:r>
          </w:p>
        </w:tc>
        <w:tc>
          <w:tcPr>
            <w:tcW w:w="141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ascii="宋体" w:cs="Arial"/>
                <w:color w:val="auto"/>
                <w:kern w:val="0"/>
                <w:szCs w:val="21"/>
              </w:rPr>
              <w:t>0</w:t>
            </w:r>
          </w:p>
        </w:tc>
        <w:tc>
          <w:tcPr>
            <w:tcW w:w="312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ascii="宋体" w:hAnsi="宋体" w:cs="Arial"/>
                <w:color w:val="auto"/>
                <w:kern w:val="0"/>
                <w:szCs w:val="21"/>
              </w:rPr>
              <w:t>2018.1.1-2018.12.31</w:t>
            </w:r>
          </w:p>
        </w:tc>
      </w:tr>
      <w:tr>
        <w:tblPrEx>
          <w:tblLayout w:type="fixed"/>
          <w:tblCellMar>
            <w:top w:w="15" w:type="dxa"/>
            <w:left w:w="15" w:type="dxa"/>
            <w:bottom w:w="15" w:type="dxa"/>
            <w:right w:w="15" w:type="dxa"/>
          </w:tblCellMar>
        </w:tblPrEx>
        <w:trPr>
          <w:trHeight w:val="390" w:hRule="atLeast"/>
        </w:trPr>
        <w:tc>
          <w:tcPr>
            <w:tcW w:w="1965" w:type="dxa"/>
            <w:tcBorders>
              <w:top w:val="single" w:color="000000" w:sz="4" w:space="0"/>
              <w:left w:val="single" w:color="000000" w:sz="4" w:space="0"/>
              <w:bottom w:val="single" w:color="000000" w:sz="4" w:space="0"/>
              <w:right w:val="single" w:color="000000" w:sz="4" w:space="0"/>
            </w:tcBorders>
            <w:vAlign w:val="center"/>
          </w:tcPr>
          <w:p>
            <w:pPr>
              <w:pStyle w:val="8"/>
              <w:keepNext/>
              <w:jc w:val="left"/>
              <w:rPr>
                <w:rFonts w:ascii="宋体" w:cs="Arial"/>
                <w:color w:val="auto"/>
                <w:kern w:val="0"/>
                <w:szCs w:val="21"/>
              </w:rPr>
            </w:pPr>
            <w:r>
              <w:rPr>
                <w:rFonts w:hint="eastAsia" w:ascii="宋体" w:hAnsi="宋体" w:cs="Arial"/>
                <w:color w:val="auto"/>
                <w:kern w:val="0"/>
                <w:szCs w:val="21"/>
              </w:rPr>
              <w:t>合计</w:t>
            </w:r>
          </w:p>
        </w:tc>
        <w:tc>
          <w:tcPr>
            <w:tcW w:w="1268"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hint="eastAsia" w:ascii="宋体" w:cs="Arial"/>
                <w:color w:val="auto"/>
                <w:kern w:val="0"/>
                <w:szCs w:val="21"/>
              </w:rPr>
            </w:pPr>
            <w:r>
              <w:rPr>
                <w:rFonts w:hint="eastAsia" w:ascii="宋体" w:cs="Arial"/>
                <w:color w:val="auto"/>
                <w:kern w:val="0"/>
                <w:szCs w:val="21"/>
              </w:rPr>
              <w:t>281</w:t>
            </w:r>
          </w:p>
        </w:tc>
        <w:tc>
          <w:tcPr>
            <w:tcW w:w="1672"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hint="eastAsia" w:ascii="宋体" w:cs="Arial"/>
                <w:color w:val="auto"/>
                <w:kern w:val="0"/>
                <w:szCs w:val="21"/>
              </w:rPr>
            </w:pPr>
            <w:r>
              <w:rPr>
                <w:rFonts w:hint="eastAsia" w:ascii="宋体" w:cs="Arial"/>
                <w:color w:val="auto"/>
                <w:kern w:val="0"/>
                <w:szCs w:val="21"/>
              </w:rPr>
              <w:t>281</w:t>
            </w:r>
          </w:p>
        </w:tc>
        <w:tc>
          <w:tcPr>
            <w:tcW w:w="141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r>
              <w:rPr>
                <w:rFonts w:ascii="宋体" w:cs="Arial"/>
                <w:color w:val="auto"/>
                <w:kern w:val="0"/>
                <w:szCs w:val="21"/>
              </w:rPr>
              <w:t>0</w:t>
            </w:r>
          </w:p>
        </w:tc>
        <w:tc>
          <w:tcPr>
            <w:tcW w:w="3120" w:type="dxa"/>
            <w:tcBorders>
              <w:top w:val="single" w:color="000000" w:sz="4" w:space="0"/>
              <w:left w:val="single" w:color="000000" w:sz="4" w:space="0"/>
              <w:bottom w:val="single" w:color="000000" w:sz="4" w:space="0"/>
              <w:right w:val="single" w:color="000000" w:sz="4" w:space="0"/>
            </w:tcBorders>
            <w:vAlign w:val="center"/>
          </w:tcPr>
          <w:p>
            <w:pPr>
              <w:pStyle w:val="8"/>
              <w:keepNext/>
              <w:jc w:val="right"/>
              <w:rPr>
                <w:rFonts w:ascii="宋体" w:cs="Arial"/>
                <w:color w:val="auto"/>
                <w:kern w:val="0"/>
                <w:szCs w:val="21"/>
              </w:rPr>
            </w:pPr>
          </w:p>
        </w:tc>
      </w:tr>
    </w:tbl>
    <w:p>
      <w:pPr>
        <w:rPr>
          <w:color w:val="auto"/>
        </w:rPr>
      </w:pPr>
    </w:p>
    <w:p>
      <w:pPr>
        <w:pStyle w:val="8"/>
        <w:keepNext/>
        <w:ind w:firstLine="2310" w:firstLineChars="1100"/>
        <w:jc w:val="left"/>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br w:type="page"/>
      </w:r>
    </w:p>
    <w:p>
      <w:pPr>
        <w:pStyle w:val="8"/>
        <w:keepNext/>
        <w:ind w:firstLine="2310" w:firstLineChars="1100"/>
        <w:jc w:val="left"/>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表十四:2018年部门预算重点项目绩效目标表</w:t>
      </w:r>
    </w:p>
    <w:p>
      <w:pPr>
        <w:pStyle w:val="8"/>
        <w:keepNext/>
        <w:ind w:firstLine="2310" w:firstLineChars="1100"/>
        <w:jc w:val="left"/>
        <w:rPr>
          <w:rFonts w:hint="eastAsia" w:ascii="宋体" w:hAnsi="宋体" w:cs="Arial"/>
          <w:color w:val="auto"/>
          <w:kern w:val="0"/>
          <w:szCs w:val="21"/>
          <w:lang w:val="en-US" w:eastAsia="zh-CN"/>
        </w:rPr>
      </w:pPr>
      <w:r>
        <w:rPr>
          <w:rFonts w:hint="eastAsia" w:ascii="宋体" w:hAnsi="宋体" w:cs="Arial"/>
          <w:color w:val="auto"/>
          <w:kern w:val="0"/>
          <w:szCs w:val="21"/>
          <w:lang w:val="en-US" w:eastAsia="zh-CN"/>
        </w:rPr>
        <w:t xml:space="preserve"> </w:t>
      </w:r>
    </w:p>
    <w:tbl>
      <w:tblPr>
        <w:tblStyle w:val="5"/>
        <w:tblW w:w="10601" w:type="dxa"/>
        <w:tblInd w:w="-9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04"/>
        <w:gridCol w:w="2652"/>
        <w:gridCol w:w="962"/>
        <w:gridCol w:w="964"/>
        <w:gridCol w:w="1090"/>
        <w:gridCol w:w="1043"/>
        <w:gridCol w:w="994"/>
        <w:gridCol w:w="805"/>
        <w:gridCol w:w="806"/>
        <w:gridCol w:w="1075"/>
        <w:gridCol w:w="1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gridAfter w:val="1"/>
          <w:wAfter w:w="106" w:type="dxa"/>
          <w:trHeight w:val="360" w:hRule="atLeast"/>
        </w:trPr>
        <w:tc>
          <w:tcPr>
            <w:tcW w:w="4682" w:type="dxa"/>
            <w:gridSpan w:val="4"/>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单位（盖公章）：福田区文联</w:t>
            </w:r>
          </w:p>
        </w:tc>
        <w:tc>
          <w:tcPr>
            <w:tcW w:w="1090" w:type="dxa"/>
            <w:tcBorders>
              <w:top w:val="single" w:color="auto" w:sz="4" w:space="0"/>
              <w:left w:val="single" w:color="auto" w:sz="4" w:space="0"/>
              <w:bottom w:val="single" w:color="auto" w:sz="4" w:space="0"/>
              <w:right w:val="single" w:color="auto" w:sz="4" w:space="0"/>
            </w:tcBorders>
            <w:shd w:val="clear" w:color="auto" w:fill="auto"/>
            <w:vAlign w:val="bottom"/>
          </w:tcPr>
          <w:p>
            <w:pPr>
              <w:jc w:val="left"/>
              <w:rPr>
                <w:rFonts w:hint="eastAsia" w:ascii="宋体" w:hAnsi="宋体" w:eastAsia="宋体" w:cs="宋体"/>
                <w:i w:val="0"/>
                <w:color w:val="auto"/>
                <w:sz w:val="20"/>
                <w:szCs w:val="20"/>
                <w:u w:val="none"/>
              </w:rPr>
            </w:pPr>
          </w:p>
        </w:tc>
        <w:tc>
          <w:tcPr>
            <w:tcW w:w="2037" w:type="dxa"/>
            <w:gridSpan w:val="2"/>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填报时间：</w:t>
            </w:r>
          </w:p>
        </w:tc>
        <w:tc>
          <w:tcPr>
            <w:tcW w:w="805"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806"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1075" w:type="dxa"/>
            <w:tcBorders>
              <w:top w:val="single" w:color="auto" w:sz="4" w:space="0"/>
              <w:left w:val="single" w:color="auto" w:sz="4" w:space="0"/>
              <w:bottom w:val="single" w:color="auto" w:sz="4" w:space="0"/>
              <w:right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480" w:hRule="atLeast"/>
        </w:trPr>
        <w:tc>
          <w:tcPr>
            <w:tcW w:w="2756"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3016"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文艺创作与活动</w:t>
            </w:r>
          </w:p>
        </w:tc>
        <w:tc>
          <w:tcPr>
            <w:tcW w:w="2037"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项目类别</w:t>
            </w:r>
          </w:p>
        </w:tc>
        <w:tc>
          <w:tcPr>
            <w:tcW w:w="2686" w:type="dxa"/>
            <w:gridSpan w:val="3"/>
            <w:tcBorders>
              <w:top w:val="single" w:color="auto"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一次性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735" w:hRule="atLeast"/>
        </w:trPr>
        <w:tc>
          <w:tcPr>
            <w:tcW w:w="2756"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项目主管部门</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项目实施单位</w:t>
            </w:r>
          </w:p>
        </w:tc>
        <w:tc>
          <w:tcPr>
            <w:tcW w:w="2686"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文联、福田书画院、下属十一个协会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480" w:hRule="atLeast"/>
        </w:trPr>
        <w:tc>
          <w:tcPr>
            <w:tcW w:w="2756" w:type="dxa"/>
            <w:gridSpan w:val="2"/>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项目周期</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1  年</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项目属性</w:t>
            </w:r>
          </w:p>
        </w:tc>
        <w:tc>
          <w:tcPr>
            <w:tcW w:w="2686"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一般公共预算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480" w:hRule="atLeast"/>
        </w:trPr>
        <w:tc>
          <w:tcPr>
            <w:tcW w:w="27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预算金额（万元）</w:t>
            </w:r>
          </w:p>
        </w:tc>
        <w:tc>
          <w:tcPr>
            <w:tcW w:w="30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215</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其中：财政拨款</w:t>
            </w:r>
          </w:p>
        </w:tc>
        <w:tc>
          <w:tcPr>
            <w:tcW w:w="2686"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215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480"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30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其中：其他资金</w:t>
            </w:r>
          </w:p>
        </w:tc>
        <w:tc>
          <w:tcPr>
            <w:tcW w:w="26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549" w:hRule="atLeast"/>
        </w:trPr>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是否预算调整</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否</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预算调整后金额（万元）</w:t>
            </w:r>
          </w:p>
        </w:tc>
        <w:tc>
          <w:tcPr>
            <w:tcW w:w="268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737" w:hRule="atLeast"/>
        </w:trPr>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         （1月-12月）</w:t>
            </w:r>
          </w:p>
        </w:tc>
        <w:tc>
          <w:tcPr>
            <w:tcW w:w="1926" w:type="dxa"/>
            <w:gridSpan w:val="2"/>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215.00</w:t>
            </w:r>
          </w:p>
        </w:tc>
        <w:tc>
          <w:tcPr>
            <w:tcW w:w="10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100.00</w:t>
            </w:r>
          </w:p>
        </w:tc>
        <w:tc>
          <w:tcPr>
            <w:tcW w:w="203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其中：财政拨款预算执行情况</w:t>
            </w:r>
          </w:p>
        </w:tc>
        <w:tc>
          <w:tcPr>
            <w:tcW w:w="1611" w:type="dxa"/>
            <w:gridSpan w:val="2"/>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215.00</w:t>
            </w:r>
          </w:p>
        </w:tc>
        <w:tc>
          <w:tcPr>
            <w:tcW w:w="10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795" w:hRule="atLeast"/>
        </w:trPr>
        <w:tc>
          <w:tcPr>
            <w:tcW w:w="27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绩效内容 </w:t>
            </w:r>
          </w:p>
        </w:tc>
        <w:tc>
          <w:tcPr>
            <w:tcW w:w="962" w:type="dxa"/>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绩效指标</w:t>
            </w:r>
          </w:p>
        </w:tc>
        <w:tc>
          <w:tcPr>
            <w:tcW w:w="20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原定目标内容 </w:t>
            </w:r>
          </w:p>
        </w:tc>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1月-12月完成情况</w:t>
            </w:r>
          </w:p>
        </w:tc>
        <w:tc>
          <w:tcPr>
            <w:tcW w:w="2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全年目标完成情况</w:t>
            </w:r>
          </w:p>
        </w:tc>
        <w:tc>
          <w:tcPr>
            <w:tcW w:w="10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与预期目标存在差异的原因</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（可另起附件说明）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795"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62"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94"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超额</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8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基本</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无法</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10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600" w:hRule="atLeast"/>
        </w:trPr>
        <w:tc>
          <w:tcPr>
            <w:tcW w:w="27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投入目标</w:t>
            </w:r>
          </w:p>
        </w:tc>
        <w:tc>
          <w:tcPr>
            <w:tcW w:w="962" w:type="dxa"/>
            <w:vMerge w:val="restart"/>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资金支出</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进度</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文艺创作，举办文艺活动</w:t>
            </w:r>
          </w:p>
        </w:tc>
        <w:tc>
          <w:tcPr>
            <w:tcW w:w="1043"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94"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806"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按进度执行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434"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62" w:type="dxa"/>
            <w:vMerge w:val="continue"/>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43"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94"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806"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356"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62" w:type="dxa"/>
            <w:vMerge w:val="continue"/>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43"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994"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806"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540" w:hRule="atLeast"/>
        </w:trPr>
        <w:tc>
          <w:tcPr>
            <w:tcW w:w="275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产出目标</w:t>
            </w:r>
          </w:p>
        </w:tc>
        <w:tc>
          <w:tcPr>
            <w:tcW w:w="96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数量目标</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26</w:t>
            </w:r>
          </w:p>
        </w:tc>
        <w:tc>
          <w:tcPr>
            <w:tcW w:w="1043"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94"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806"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按进度执行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660"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6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质量目标</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预计3000人参加26个项目</w:t>
            </w:r>
          </w:p>
        </w:tc>
        <w:tc>
          <w:tcPr>
            <w:tcW w:w="1043"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94"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806"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90" w:hRule="atLeast"/>
        </w:trPr>
        <w:tc>
          <w:tcPr>
            <w:tcW w:w="275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62"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工作时效 </w:t>
            </w:r>
          </w:p>
        </w:tc>
        <w:tc>
          <w:tcPr>
            <w:tcW w:w="205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12个月</w:t>
            </w:r>
          </w:p>
        </w:tc>
        <w:tc>
          <w:tcPr>
            <w:tcW w:w="1043"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94"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806"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After w:val="1"/>
          <w:wAfter w:w="106" w:type="dxa"/>
          <w:trHeight w:val="855" w:hRule="atLeast"/>
        </w:trPr>
        <w:tc>
          <w:tcPr>
            <w:tcW w:w="27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效益目标</w:t>
            </w:r>
          </w:p>
        </w:tc>
        <w:tc>
          <w:tcPr>
            <w:tcW w:w="30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文艺创作起到积极的促进作用，在出精品、出人才、出成果等各项工作中取得显著成效。各项活动的开展同时也推动了民间传统文化的传承，丰富了社区群众生活，促进人才文化交流。</w:t>
            </w:r>
          </w:p>
        </w:tc>
        <w:tc>
          <w:tcPr>
            <w:tcW w:w="10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94"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805"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80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075"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gridBefore w:val="1"/>
          <w:wBefore w:w="104" w:type="dxa"/>
          <w:trHeight w:val="795" w:hRule="atLeast"/>
        </w:trPr>
        <w:tc>
          <w:tcPr>
            <w:tcW w:w="10497" w:type="dxa"/>
            <w:gridSpan w:val="10"/>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填表说明：1.“项目类别”填入“一次性项目”或“经常性项目”；</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 xml:space="preserve">          2.“项目属性”填入“新增项目”或“延续项目”。</w:t>
            </w:r>
          </w:p>
        </w:tc>
      </w:tr>
    </w:tbl>
    <w:p>
      <w:pPr>
        <w:pStyle w:val="8"/>
        <w:keepNext/>
        <w:jc w:val="left"/>
        <w:rPr>
          <w:rFonts w:hint="eastAsia" w:ascii="宋体" w:hAnsi="宋体" w:cs="Arial"/>
          <w:color w:val="auto"/>
          <w:kern w:val="0"/>
          <w:sz w:val="20"/>
          <w:szCs w:val="20"/>
          <w:lang w:val="en-US" w:eastAsia="zh-CN"/>
        </w:rPr>
      </w:pPr>
    </w:p>
    <w:tbl>
      <w:tblPr>
        <w:tblStyle w:val="5"/>
        <w:tblW w:w="10497" w:type="dxa"/>
        <w:tblInd w:w="-88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743"/>
        <w:gridCol w:w="1092"/>
        <w:gridCol w:w="800"/>
        <w:gridCol w:w="1086"/>
        <w:gridCol w:w="1038"/>
        <w:gridCol w:w="987"/>
        <w:gridCol w:w="789"/>
        <w:gridCol w:w="791"/>
        <w:gridCol w:w="1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0" w:hRule="atLeast"/>
        </w:trPr>
        <w:tc>
          <w:tcPr>
            <w:tcW w:w="4635" w:type="dxa"/>
            <w:gridSpan w:val="3"/>
            <w:tcBorders>
              <w:bottom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单位（盖公章）：福田区文联</w:t>
            </w:r>
          </w:p>
        </w:tc>
        <w:tc>
          <w:tcPr>
            <w:tcW w:w="1086" w:type="dxa"/>
            <w:tcBorders>
              <w:bottom w:val="single" w:color="auto" w:sz="4" w:space="0"/>
            </w:tcBorders>
            <w:shd w:val="clear" w:color="auto" w:fill="auto"/>
            <w:vAlign w:val="bottom"/>
          </w:tcPr>
          <w:p>
            <w:pPr>
              <w:jc w:val="left"/>
              <w:rPr>
                <w:rFonts w:hint="eastAsia" w:ascii="宋体" w:hAnsi="宋体" w:eastAsia="宋体" w:cs="宋体"/>
                <w:i w:val="0"/>
                <w:color w:val="auto"/>
                <w:sz w:val="20"/>
                <w:szCs w:val="20"/>
                <w:u w:val="none"/>
              </w:rPr>
            </w:pPr>
          </w:p>
        </w:tc>
        <w:tc>
          <w:tcPr>
            <w:tcW w:w="2025" w:type="dxa"/>
            <w:gridSpan w:val="2"/>
            <w:tcBorders>
              <w:bottom w:val="single" w:color="auto"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auto"/>
                <w:sz w:val="20"/>
                <w:szCs w:val="20"/>
                <w:u w:val="none"/>
              </w:rPr>
            </w:pPr>
          </w:p>
        </w:tc>
        <w:tc>
          <w:tcPr>
            <w:tcW w:w="789" w:type="dxa"/>
            <w:tcBorders>
              <w:bottom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791" w:type="dxa"/>
            <w:tcBorders>
              <w:bottom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c>
          <w:tcPr>
            <w:tcW w:w="1171" w:type="dxa"/>
            <w:tcBorders>
              <w:bottom w:val="single" w:color="auto" w:sz="4" w:space="0"/>
            </w:tcBorders>
            <w:shd w:val="clear" w:color="auto" w:fill="auto"/>
            <w:vAlign w:val="bottom"/>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74" w:hRule="atLeast"/>
        </w:trPr>
        <w:tc>
          <w:tcPr>
            <w:tcW w:w="274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项目名称</w:t>
            </w:r>
          </w:p>
        </w:tc>
        <w:tc>
          <w:tcPr>
            <w:tcW w:w="2978"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文艺交流与培训</w:t>
            </w:r>
          </w:p>
        </w:tc>
        <w:tc>
          <w:tcPr>
            <w:tcW w:w="202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项目类别</w:t>
            </w:r>
          </w:p>
        </w:tc>
        <w:tc>
          <w:tcPr>
            <w:tcW w:w="2751" w:type="dxa"/>
            <w:gridSpan w:val="3"/>
            <w:tcBorders>
              <w:top w:val="single" w:color="auto" w:sz="4" w:space="0"/>
              <w:left w:val="single" w:color="auto" w:sz="4" w:space="0"/>
              <w:bottom w:val="single" w:color="auto" w:sz="4" w:space="0"/>
              <w:right w:val="single" w:color="auto" w:sz="4" w:space="0"/>
            </w:tcBorders>
            <w:shd w:val="clear" w:color="auto" w:fill="auto"/>
            <w:vAlign w:val="bottom"/>
          </w:tcPr>
          <w:p>
            <w:pPr>
              <w:keepNext w:val="0"/>
              <w:keepLines w:val="0"/>
              <w:widowControl/>
              <w:suppressLineNumbers w:val="0"/>
              <w:jc w:val="center"/>
              <w:textAlignment w:val="bottom"/>
              <w:rPr>
                <w:rFonts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一次性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29" w:hRule="atLeast"/>
        </w:trPr>
        <w:tc>
          <w:tcPr>
            <w:tcW w:w="2743" w:type="dxa"/>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项目主管部门</w:t>
            </w:r>
          </w:p>
        </w:tc>
        <w:tc>
          <w:tcPr>
            <w:tcW w:w="2978" w:type="dxa"/>
            <w:gridSpan w:val="3"/>
            <w:tcBorders>
              <w:top w:val="single" w:color="auto"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25"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项目实施单位</w:t>
            </w:r>
          </w:p>
        </w:tc>
        <w:tc>
          <w:tcPr>
            <w:tcW w:w="2751" w:type="dxa"/>
            <w:gridSpan w:val="3"/>
            <w:tcBorders>
              <w:top w:val="single" w:color="auto"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文联、福田书画院、下属十一个协会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2743" w:type="dxa"/>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项目周期</w:t>
            </w:r>
          </w:p>
        </w:tc>
        <w:tc>
          <w:tcPr>
            <w:tcW w:w="29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1  年</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项目属性</w:t>
            </w:r>
          </w:p>
        </w:tc>
        <w:tc>
          <w:tcPr>
            <w:tcW w:w="275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一般公共预算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2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预算金额（万元）</w:t>
            </w:r>
          </w:p>
        </w:tc>
        <w:tc>
          <w:tcPr>
            <w:tcW w:w="297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66</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其中：财政拨款</w:t>
            </w:r>
          </w:p>
        </w:tc>
        <w:tc>
          <w:tcPr>
            <w:tcW w:w="275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Arial Unicode MS" w:hAnsi="Arial Unicode MS" w:eastAsia="Arial Unicode MS" w:cs="Arial Unicode MS"/>
                <w:i w:val="0"/>
                <w:color w:val="auto"/>
                <w:sz w:val="20"/>
                <w:szCs w:val="20"/>
                <w:u w:val="none"/>
              </w:rPr>
            </w:pPr>
            <w:r>
              <w:rPr>
                <w:rFonts w:hint="eastAsia" w:ascii="Arial Unicode MS" w:hAnsi="Arial Unicode MS" w:eastAsia="Arial Unicode MS" w:cs="Arial Unicode MS"/>
                <w:i w:val="0"/>
                <w:color w:val="auto"/>
                <w:kern w:val="0"/>
                <w:sz w:val="20"/>
                <w:szCs w:val="20"/>
                <w:u w:val="none"/>
                <w:lang w:val="en-US" w:eastAsia="zh-CN" w:bidi="ar"/>
              </w:rPr>
              <w:t>66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80" w:hRule="atLeast"/>
        </w:trPr>
        <w:tc>
          <w:tcPr>
            <w:tcW w:w="2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97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   其中：其他资金</w:t>
            </w:r>
          </w:p>
        </w:tc>
        <w:tc>
          <w:tcPr>
            <w:tcW w:w="2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是否预算调整</w:t>
            </w:r>
          </w:p>
        </w:tc>
        <w:tc>
          <w:tcPr>
            <w:tcW w:w="29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否</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预算调整后金额（万元）</w:t>
            </w:r>
          </w:p>
        </w:tc>
        <w:tc>
          <w:tcPr>
            <w:tcW w:w="275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10" w:hRule="atLeast"/>
        </w:trPr>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预算执行情况（1月-12月）</w:t>
            </w:r>
          </w:p>
        </w:tc>
        <w:tc>
          <w:tcPr>
            <w:tcW w:w="1892" w:type="dxa"/>
            <w:gridSpan w:val="2"/>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66.00</w:t>
            </w: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100.00</w:t>
            </w:r>
          </w:p>
        </w:tc>
        <w:tc>
          <w:tcPr>
            <w:tcW w:w="20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其中：财政拨款预算执行情况</w:t>
            </w:r>
          </w:p>
        </w:tc>
        <w:tc>
          <w:tcPr>
            <w:tcW w:w="1580" w:type="dxa"/>
            <w:gridSpan w:val="2"/>
            <w:tcBorders>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66.00</w:t>
            </w:r>
          </w:p>
        </w:tc>
        <w:tc>
          <w:tcPr>
            <w:tcW w:w="1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2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绩效内容 </w:t>
            </w:r>
          </w:p>
        </w:tc>
        <w:tc>
          <w:tcPr>
            <w:tcW w:w="1092" w:type="dxa"/>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绩效指标</w:t>
            </w:r>
          </w:p>
        </w:tc>
        <w:tc>
          <w:tcPr>
            <w:tcW w:w="18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 xml:space="preserve">原定目标内容 </w:t>
            </w:r>
          </w:p>
        </w:tc>
        <w:tc>
          <w:tcPr>
            <w:tcW w:w="103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1月-12月完成情况</w:t>
            </w:r>
          </w:p>
        </w:tc>
        <w:tc>
          <w:tcPr>
            <w:tcW w:w="256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全年目标完成情况</w:t>
            </w:r>
          </w:p>
        </w:tc>
        <w:tc>
          <w:tcPr>
            <w:tcW w:w="1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与预期目标存在差异的原因</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（可另起附件说明）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2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92" w:type="dxa"/>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3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87"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超额</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7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基本</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无法</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完成</w:t>
            </w:r>
          </w:p>
        </w:tc>
        <w:tc>
          <w:tcPr>
            <w:tcW w:w="1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00" w:hRule="atLeast"/>
        </w:trPr>
        <w:tc>
          <w:tcPr>
            <w:tcW w:w="2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投入目标</w:t>
            </w:r>
          </w:p>
        </w:tc>
        <w:tc>
          <w:tcPr>
            <w:tcW w:w="1092" w:type="dxa"/>
            <w:vMerge w:val="restart"/>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资金支出</w:t>
            </w:r>
            <w:r>
              <w:rPr>
                <w:rFonts w:hint="eastAsia" w:ascii="宋体" w:hAnsi="宋体" w:eastAsia="宋体" w:cs="宋体"/>
                <w:i w:val="0"/>
                <w:color w:val="auto"/>
                <w:kern w:val="0"/>
                <w:sz w:val="20"/>
                <w:szCs w:val="20"/>
                <w:u w:val="none"/>
                <w:lang w:val="en-US" w:eastAsia="zh-CN" w:bidi="ar"/>
              </w:rPr>
              <w:br w:type="textWrapping"/>
            </w:r>
            <w:r>
              <w:rPr>
                <w:rFonts w:hint="eastAsia" w:ascii="宋体" w:hAnsi="宋体" w:eastAsia="宋体" w:cs="宋体"/>
                <w:i w:val="0"/>
                <w:color w:val="auto"/>
                <w:kern w:val="0"/>
                <w:sz w:val="20"/>
                <w:szCs w:val="20"/>
                <w:u w:val="none"/>
                <w:lang w:val="en-US" w:eastAsia="zh-CN" w:bidi="ar"/>
              </w:rPr>
              <w:t>进度</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文艺交流，培训</w:t>
            </w:r>
          </w:p>
        </w:tc>
        <w:tc>
          <w:tcPr>
            <w:tcW w:w="1038"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87"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789"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791"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171"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按进度执行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8" w:hRule="atLeast"/>
        </w:trPr>
        <w:tc>
          <w:tcPr>
            <w:tcW w:w="2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92" w:type="dxa"/>
            <w:vMerge w:val="continue"/>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38"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987"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789"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791"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171"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9" w:hRule="atLeast"/>
        </w:trPr>
        <w:tc>
          <w:tcPr>
            <w:tcW w:w="2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92" w:type="dxa"/>
            <w:vMerge w:val="continue"/>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38"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987"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789"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79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17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9" w:hRule="atLeast"/>
        </w:trPr>
        <w:tc>
          <w:tcPr>
            <w:tcW w:w="27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产出目标</w:t>
            </w:r>
          </w:p>
        </w:tc>
        <w:tc>
          <w:tcPr>
            <w:tcW w:w="109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数量目标</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8</w:t>
            </w:r>
          </w:p>
        </w:tc>
        <w:tc>
          <w:tcPr>
            <w:tcW w:w="1038"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87"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789"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79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171"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按进度执行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60" w:hRule="atLeast"/>
        </w:trPr>
        <w:tc>
          <w:tcPr>
            <w:tcW w:w="27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0"/>
                <w:szCs w:val="20"/>
                <w:u w:val="none"/>
              </w:rPr>
            </w:pPr>
          </w:p>
        </w:tc>
        <w:tc>
          <w:tcPr>
            <w:tcW w:w="1092" w:type="dxa"/>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质量目标</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预计1500人参加8个项目</w:t>
            </w:r>
          </w:p>
        </w:tc>
        <w:tc>
          <w:tcPr>
            <w:tcW w:w="1038"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0"/>
                <w:szCs w:val="20"/>
                <w:u w:val="none"/>
              </w:rPr>
            </w:pPr>
            <w:r>
              <w:rPr>
                <w:rFonts w:hint="eastAsia" w:ascii="宋体" w:hAnsi="宋体" w:eastAsia="宋体" w:cs="宋体"/>
                <w:i w:val="0"/>
                <w:color w:val="auto"/>
                <w:kern w:val="0"/>
                <w:sz w:val="20"/>
                <w:szCs w:val="20"/>
                <w:u w:val="none"/>
                <w:lang w:val="en-US" w:eastAsia="zh-CN" w:bidi="ar"/>
              </w:rPr>
              <w:t>100%</w:t>
            </w:r>
          </w:p>
        </w:tc>
        <w:tc>
          <w:tcPr>
            <w:tcW w:w="987"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0"/>
                <w:szCs w:val="20"/>
                <w:u w:val="none"/>
              </w:rPr>
            </w:pPr>
          </w:p>
        </w:tc>
        <w:tc>
          <w:tcPr>
            <w:tcW w:w="789"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0"/>
                <w:szCs w:val="20"/>
                <w:u w:val="none"/>
              </w:rPr>
            </w:pPr>
            <w:r>
              <w:rPr>
                <w:rFonts w:hint="default" w:ascii="Times New Roman" w:hAnsi="Times New Roman" w:eastAsia="Arial Unicode MS" w:cs="Times New Roman"/>
                <w:i w:val="0"/>
                <w:color w:val="auto"/>
                <w:kern w:val="0"/>
                <w:sz w:val="20"/>
                <w:szCs w:val="20"/>
                <w:u w:val="none"/>
                <w:lang w:val="en-US" w:eastAsia="zh-CN" w:bidi="ar"/>
              </w:rPr>
              <w:t>√</w:t>
            </w:r>
          </w:p>
        </w:tc>
        <w:tc>
          <w:tcPr>
            <w:tcW w:w="79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c>
          <w:tcPr>
            <w:tcW w:w="117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1" w:hRule="atLeast"/>
        </w:trPr>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u w:val="none"/>
              </w:rPr>
            </w:pPr>
          </w:p>
        </w:tc>
        <w:tc>
          <w:tcPr>
            <w:tcW w:w="1092"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 xml:space="preserve">工作时效 </w:t>
            </w:r>
          </w:p>
        </w:tc>
        <w:tc>
          <w:tcPr>
            <w:tcW w:w="1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12个月</w:t>
            </w:r>
          </w:p>
        </w:tc>
        <w:tc>
          <w:tcPr>
            <w:tcW w:w="1038" w:type="dxa"/>
            <w:tcBorders>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100%</w:t>
            </w:r>
          </w:p>
        </w:tc>
        <w:tc>
          <w:tcPr>
            <w:tcW w:w="987"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4"/>
                <w:szCs w:val="24"/>
                <w:u w:val="none"/>
              </w:rPr>
            </w:pPr>
          </w:p>
        </w:tc>
        <w:tc>
          <w:tcPr>
            <w:tcW w:w="789"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4"/>
                <w:szCs w:val="24"/>
                <w:u w:val="none"/>
              </w:rPr>
            </w:pPr>
            <w:r>
              <w:rPr>
                <w:rFonts w:hint="default" w:ascii="Times New Roman" w:hAnsi="Times New Roman" w:eastAsia="Arial Unicode MS" w:cs="Times New Roman"/>
                <w:i w:val="0"/>
                <w:color w:val="auto"/>
                <w:kern w:val="0"/>
                <w:sz w:val="24"/>
                <w:szCs w:val="24"/>
                <w:u w:val="none"/>
                <w:lang w:val="en-US" w:eastAsia="zh-CN" w:bidi="ar"/>
              </w:rPr>
              <w:t>√</w:t>
            </w:r>
          </w:p>
        </w:tc>
        <w:tc>
          <w:tcPr>
            <w:tcW w:w="79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4"/>
                <w:szCs w:val="24"/>
                <w:u w:val="none"/>
              </w:rPr>
            </w:pPr>
          </w:p>
        </w:tc>
        <w:tc>
          <w:tcPr>
            <w:tcW w:w="1171" w:type="dxa"/>
            <w:tcBorders>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55" w:hRule="atLeast"/>
        </w:trPr>
        <w:tc>
          <w:tcPr>
            <w:tcW w:w="27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效益目标</w:t>
            </w:r>
          </w:p>
        </w:tc>
        <w:tc>
          <w:tcPr>
            <w:tcW w:w="297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开展与兄弟市、区（县）文联的协作与交流，开展国际文化交流活动；开展艺术培训，丰富辖区居民与机关干部职工业余文化生活。</w:t>
            </w:r>
          </w:p>
        </w:tc>
        <w:tc>
          <w:tcPr>
            <w:tcW w:w="103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100%</w:t>
            </w:r>
          </w:p>
        </w:tc>
        <w:tc>
          <w:tcPr>
            <w:tcW w:w="987" w:type="dxa"/>
            <w:tcBorders>
              <w:bottom w:val="single" w:color="000000" w:sz="4" w:space="0"/>
              <w:right w:val="single" w:color="000000" w:sz="4" w:space="0"/>
            </w:tcBorders>
            <w:shd w:val="clear" w:color="auto" w:fill="auto"/>
            <w:vAlign w:val="center"/>
          </w:tcPr>
          <w:p>
            <w:pPr>
              <w:jc w:val="center"/>
              <w:rPr>
                <w:rFonts w:hint="default" w:ascii="Times New Roman" w:hAnsi="Times New Roman" w:eastAsia="Arial Unicode MS" w:cs="Times New Roman"/>
                <w:i w:val="0"/>
                <w:color w:val="auto"/>
                <w:sz w:val="24"/>
                <w:szCs w:val="24"/>
                <w:u w:val="none"/>
              </w:rPr>
            </w:pPr>
          </w:p>
        </w:tc>
        <w:tc>
          <w:tcPr>
            <w:tcW w:w="789" w:type="dxa"/>
            <w:tcBorders>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Arial Unicode MS" w:cs="Times New Roman"/>
                <w:i w:val="0"/>
                <w:color w:val="auto"/>
                <w:sz w:val="24"/>
                <w:szCs w:val="24"/>
                <w:u w:val="none"/>
              </w:rPr>
            </w:pPr>
            <w:r>
              <w:rPr>
                <w:rFonts w:hint="default" w:ascii="Times New Roman" w:hAnsi="Times New Roman" w:eastAsia="Arial Unicode MS" w:cs="Times New Roman"/>
                <w:i w:val="0"/>
                <w:color w:val="auto"/>
                <w:kern w:val="0"/>
                <w:sz w:val="24"/>
                <w:szCs w:val="24"/>
                <w:u w:val="none"/>
                <w:lang w:val="en-US" w:eastAsia="zh-CN" w:bidi="ar"/>
              </w:rPr>
              <w:t>√</w:t>
            </w:r>
          </w:p>
        </w:tc>
        <w:tc>
          <w:tcPr>
            <w:tcW w:w="7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auto"/>
                <w:sz w:val="24"/>
                <w:szCs w:val="24"/>
                <w:u w:val="none"/>
              </w:rPr>
            </w:pPr>
          </w:p>
        </w:tc>
        <w:tc>
          <w:tcPr>
            <w:tcW w:w="1171" w:type="dxa"/>
            <w:tcBorders>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auto"/>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95" w:hRule="atLeast"/>
        </w:trPr>
        <w:tc>
          <w:tcPr>
            <w:tcW w:w="10497" w:type="dxa"/>
            <w:gridSpan w:val="9"/>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填表说明：1.“项目类别”填入“一次性项目”或“经常性项目”；</w:t>
            </w:r>
            <w:r>
              <w:rPr>
                <w:rFonts w:hint="eastAsia" w:ascii="宋体" w:hAnsi="宋体" w:eastAsia="宋体" w:cs="宋体"/>
                <w:i w:val="0"/>
                <w:color w:val="auto"/>
                <w:kern w:val="0"/>
                <w:sz w:val="24"/>
                <w:szCs w:val="24"/>
                <w:u w:val="none"/>
                <w:lang w:val="en-US" w:eastAsia="zh-CN" w:bidi="ar"/>
              </w:rPr>
              <w:br w:type="textWrapping"/>
            </w:r>
            <w:r>
              <w:rPr>
                <w:rFonts w:hint="eastAsia" w:ascii="宋体" w:hAnsi="宋体" w:eastAsia="宋体" w:cs="宋体"/>
                <w:i w:val="0"/>
                <w:color w:val="auto"/>
                <w:kern w:val="0"/>
                <w:sz w:val="24"/>
                <w:szCs w:val="24"/>
                <w:u w:val="none"/>
                <w:lang w:val="en-US" w:eastAsia="zh-CN" w:bidi="ar"/>
              </w:rPr>
              <w:t xml:space="preserve">          2.“项目属性”填入“新增项目”或“延续项目”。</w:t>
            </w:r>
          </w:p>
        </w:tc>
      </w:tr>
    </w:tbl>
    <w:p>
      <w:pPr>
        <w:rPr>
          <w:color w:val="auto"/>
        </w:rPr>
      </w:pPr>
    </w:p>
    <w:bookmarkEnd w:i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Courier New">
    <w:panose1 w:val="02070309020205020404"/>
    <w:charset w:val="00"/>
    <w:family w:val="modern"/>
    <w:pitch w:val="default"/>
    <w:sig w:usb0="E0002AFF" w:usb1="C0007843" w:usb2="00000009" w:usb3="00000000" w:csb0="400001FF" w:csb1="FFFF0000"/>
  </w:font>
  <w:font w:name="MS PGothic">
    <w:panose1 w:val="020B0600070205080204"/>
    <w:charset w:val="80"/>
    <w:family w:val="auto"/>
    <w:pitch w:val="default"/>
    <w:sig w:usb0="E00002FF" w:usb1="6AC7FDFB" w:usb2="00000012" w:usb3="00000000" w:csb0="4002009F" w:csb1="DFD70000"/>
  </w:font>
  <w:font w:name="Arial Unicode MS">
    <w:panose1 w:val="020B0604020202020204"/>
    <w:charset w:val="86"/>
    <w:family w:val="roman"/>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D82"/>
    <w:rsid w:val="003D3D82"/>
    <w:rsid w:val="3221394C"/>
    <w:rsid w:val="4A85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8"/>
      <w:szCs w:val="28"/>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
    <w:name w:val="正文 New"/>
    <w:qFormat/>
    <w:uiPriority w:val="0"/>
    <w:pPr>
      <w:widowControl w:val="0"/>
      <w:jc w:val="both"/>
    </w:pPr>
    <w:rPr>
      <w:rFonts w:ascii="Times New Roman" w:hAnsi="Times New Roman" w:eastAsia="仿宋_GB2312" w:cs="Times New Roman"/>
      <w:kern w:val="2"/>
      <w:sz w:val="28"/>
      <w:szCs w:val="28"/>
      <w:lang w:val="en-US" w:eastAsia="zh-CN" w:bidi="ar-SA"/>
    </w:rPr>
  </w:style>
  <w:style w:type="paragraph" w:customStyle="1" w:styleId="8">
    <w:name w:val="正文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
    <w:name w:val="正文 New New New New"/>
    <w:qFormat/>
    <w:uiPriority w:val="0"/>
    <w:pPr>
      <w:widowControl w:val="0"/>
      <w:jc w:val="both"/>
    </w:pPr>
    <w:rPr>
      <w:rFonts w:ascii="Times New Roman" w:hAnsi="Times New Roman" w:eastAsia="仿宋_GB2312" w:cs="Times New Roman"/>
      <w:kern w:val="2"/>
      <w:sz w:val="28"/>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Office_10.8.0.6308_F1E327BC-269C-435d-A152-05C5408002CA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2019-02-15T08:25:00Z</dcterms:created>
  <dc:creator>Administrator</dc:creator>
  <cp:lastModifiedBy>admin</cp:lastModifiedBy>
  <dcterms:modified xsi:type="dcterms:W3CDTF">2019-02-18T03:53:22Z</dcterms:modified>
  <dc:title>目 录</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2052-10.8.0.6308</vt:lpwstr>
  </property>
</Properties>
</file>