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jc w:val="left"/>
        <w:rPr>
          <w:rFonts w:hint="eastAsia" w:ascii="黑体" w:hAnsi="黑体" w:eastAsia="黑体" w:cs="黑体"/>
          <w:i w:val="0"/>
          <w:color w:val="333333"/>
          <w:sz w:val="32"/>
          <w:szCs w:val="32"/>
          <w:lang w:val="en-US" w:eastAsia="zh-CN"/>
        </w:rPr>
      </w:pPr>
      <w:r>
        <w:rPr>
          <w:rFonts w:hint="eastAsia" w:ascii="黑体" w:hAnsi="黑体" w:eastAsia="黑体" w:cs="黑体"/>
          <w:i w:val="0"/>
          <w:color w:val="333333"/>
          <w:sz w:val="32"/>
          <w:szCs w:val="32"/>
          <w:lang w:val="en-US" w:eastAsia="zh-CN"/>
        </w:rPr>
        <w:t>附件2</w:t>
      </w: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方正小标宋_GBK" w:hAnsi="方正小标宋_GBK" w:eastAsia="方正小标宋_GBK" w:cs="方正小标宋_GBK"/>
          <w:color w:val="000000"/>
          <w:sz w:val="44"/>
          <w:szCs w:val="44"/>
          <w:lang w:val="en-US"/>
        </w:rPr>
      </w:pPr>
      <w:bookmarkStart w:id="0" w:name="_GoBack"/>
      <w:r>
        <w:rPr>
          <w:rFonts w:hint="eastAsia" w:ascii="方正小标宋_GBK" w:hAnsi="方正小标宋_GBK" w:eastAsia="方正小标宋_GBK" w:cs="方正小标宋_GBK"/>
          <w:color w:val="000000"/>
          <w:kern w:val="2"/>
          <w:sz w:val="44"/>
          <w:szCs w:val="44"/>
          <w:lang w:val="en-US" w:eastAsia="zh-CN" w:bidi="ar"/>
        </w:rPr>
        <w:t>深圳市福田区园岭街道办事处小型建设</w:t>
      </w: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方正小标宋_GBK" w:hAnsi="方正小标宋_GBK" w:eastAsia="方正小标宋_GBK" w:cs="方正小标宋_GBK"/>
          <w:color w:val="000000"/>
          <w:sz w:val="32"/>
          <w:szCs w:val="32"/>
          <w:lang w:val="en-US"/>
        </w:rPr>
      </w:pPr>
      <w:r>
        <w:rPr>
          <w:rFonts w:hint="eastAsia" w:ascii="方正小标宋_GBK" w:hAnsi="方正小标宋_GBK" w:eastAsia="方正小标宋_GBK" w:cs="方正小标宋_GBK"/>
          <w:color w:val="000000"/>
          <w:kern w:val="2"/>
          <w:sz w:val="44"/>
          <w:szCs w:val="44"/>
          <w:lang w:val="en-US" w:eastAsia="zh-CN" w:bidi="ar"/>
        </w:rPr>
        <w:t>工程预选供应商库管理暂行办法</w:t>
      </w:r>
    </w:p>
    <w:bookmarkEnd w:id="0"/>
    <w:p>
      <w:pPr>
        <w:keepNext w:val="0"/>
        <w:keepLines w:val="0"/>
        <w:widowControl w:val="0"/>
        <w:suppressLineNumbers w:val="0"/>
        <w:wordWrap w:val="0"/>
        <w:spacing w:before="0" w:beforeAutospacing="0" w:after="0" w:afterAutospacing="0" w:line="560" w:lineRule="exact"/>
        <w:ind w:left="0" w:right="0" w:firstLine="640" w:firstLineChars="200"/>
        <w:jc w:val="both"/>
        <w:rPr>
          <w:rFonts w:hint="eastAsia" w:ascii="仿宋_GB2312" w:hAnsi="仿宋" w:eastAsia="仿宋_GB2312" w:cs="仿宋_GB2312"/>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第一章 总则</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b/>
          <w:color w:val="000000"/>
          <w:kern w:val="2"/>
          <w:sz w:val="32"/>
          <w:szCs w:val="32"/>
          <w:lang w:val="en-US" w:eastAsia="zh-CN" w:bidi="ar"/>
        </w:rPr>
        <w:t>第一条</w:t>
      </w:r>
      <w:r>
        <w:rPr>
          <w:rFonts w:hint="eastAsia" w:ascii="楷体_GB2312" w:hAnsi="楷体_GB2312" w:eastAsia="楷体_GB2312" w:cs="楷体_GB2312"/>
          <w:color w:val="000000"/>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
        </w:rPr>
        <w:t>为进一步规范深圳市福田区园岭街道办事处小型建设工程项目采购行为，提高政府采购工作效率，降低采购成本，加强政府采购的履约监督，强化供应商的服务意识，</w:t>
      </w:r>
      <w:r>
        <w:rPr>
          <w:rFonts w:hint="eastAsia" w:ascii="仿宋_GB2312" w:hAnsi="仿宋_GB2312" w:eastAsia="仿宋_GB2312" w:cs="仿宋_GB2312"/>
          <w:kern w:val="2"/>
          <w:sz w:val="32"/>
          <w:szCs w:val="32"/>
          <w:lang w:val="en-US" w:eastAsia="zh-CN" w:bidi="ar"/>
        </w:rPr>
        <w:t>根据《关于启用新一轮福田区小型建设工程协议供应商的通知》等相关文件精神，结合街道实际，制定本办法。</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第二条</w:t>
      </w:r>
      <w:r>
        <w:rPr>
          <w:rFonts w:hint="eastAsia" w:ascii="仿宋_GB2312" w:hAnsi="仿宋_GB2312" w:eastAsia="仿宋_GB2312" w:cs="仿宋_GB2312"/>
          <w:b/>
          <w:kern w:val="2"/>
          <w:sz w:val="32"/>
          <w:szCs w:val="32"/>
          <w:lang w:val="en-US" w:eastAsia="zh-CN" w:bidi="ar"/>
        </w:rPr>
        <w:t xml:space="preserve"> </w:t>
      </w:r>
      <w:r>
        <w:rPr>
          <w:rFonts w:hint="eastAsia" w:ascii="仿宋_GB2312" w:hAnsi="仿宋_GB2312" w:eastAsia="仿宋_GB2312" w:cs="仿宋_GB2312"/>
          <w:kern w:val="2"/>
          <w:sz w:val="32"/>
          <w:szCs w:val="32"/>
          <w:lang w:val="en-US" w:eastAsia="zh-CN" w:bidi="ar"/>
        </w:rPr>
        <w:t>深圳市福田区园岭街道办事小型建设工程预选供应商库（简称“预选库”），是指通过公开招标方式，对投标人的资质能力、专业力量、业绩成果等情况进行综合考核，从中优选出一批能够承担街道小型建设工程项目的预选供应商。本办法适用于金额为5万元（含）以上，集中采购限额标准以下的小型建设工程项目。</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第三条</w:t>
      </w:r>
      <w:r>
        <w:rPr>
          <w:rFonts w:hint="eastAsia" w:ascii="仿宋_GB2312" w:hAnsi="仿宋_GB2312" w:eastAsia="仿宋_GB2312" w:cs="仿宋_GB2312"/>
          <w:kern w:val="2"/>
          <w:sz w:val="32"/>
          <w:szCs w:val="32"/>
          <w:lang w:val="en-US" w:eastAsia="zh-CN" w:bidi="ar"/>
        </w:rPr>
        <w:t xml:space="preserve"> 预选库设三个类型库，共20家。</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（一）市政公用工程类10家。</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（二）装修装饰工程类5家。</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（二）消防设施工程类5家。</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第四条</w:t>
      </w:r>
      <w:r>
        <w:rPr>
          <w:rFonts w:hint="eastAsia" w:ascii="仿宋_GB2312" w:hAnsi="仿宋_GB2312" w:eastAsia="仿宋_GB2312" w:cs="仿宋_GB2312"/>
          <w:kern w:val="2"/>
          <w:sz w:val="32"/>
          <w:szCs w:val="32"/>
          <w:lang w:val="en-US" w:eastAsia="zh-CN" w:bidi="ar"/>
        </w:rPr>
        <w:t xml:space="preserve"> 预选库的有效期为2年。合同一年一签，经街道采购办公室考核合格后可续签下一年度合同。</w:t>
      </w:r>
    </w:p>
    <w:p>
      <w:pPr>
        <w:keepNext w:val="0"/>
        <w:keepLines w:val="0"/>
        <w:widowControl w:val="0"/>
        <w:suppressLineNumbers w:val="0"/>
        <w:wordWrap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第五条</w:t>
      </w:r>
      <w:r>
        <w:rPr>
          <w:rFonts w:hint="eastAsia" w:ascii="仿宋_GB2312" w:hAnsi="仿宋_GB2312" w:eastAsia="仿宋_GB2312" w:cs="仿宋_GB2312"/>
          <w:kern w:val="2"/>
          <w:sz w:val="32"/>
          <w:szCs w:val="32"/>
          <w:lang w:val="en-US" w:eastAsia="zh-CN" w:bidi="ar"/>
        </w:rPr>
        <w:t xml:space="preserve"> 预选库的建立、使用和管理遵循“公开择优、综合评价、动态管理”的原则。</w:t>
      </w: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第二章 预选库的入库</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第六条</w:t>
      </w:r>
      <w:r>
        <w:rPr>
          <w:rFonts w:hint="eastAsia" w:ascii="仿宋_GB2312" w:hAnsi="仿宋_GB2312" w:eastAsia="仿宋_GB2312" w:cs="仿宋_GB2312"/>
          <w:kern w:val="2"/>
          <w:sz w:val="32"/>
          <w:szCs w:val="32"/>
          <w:lang w:val="en-US" w:eastAsia="zh-CN" w:bidi="ar"/>
        </w:rPr>
        <w:t xml:space="preserve"> 预选库的建立采用预选公开招标的方式，实行自愿申请、公开报名、专家评审、择优选用的入选原则。</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 xml:space="preserve">第七条 </w:t>
      </w:r>
      <w:r>
        <w:rPr>
          <w:rFonts w:hint="eastAsia" w:ascii="仿宋_GB2312" w:hAnsi="仿宋_GB2312" w:eastAsia="仿宋_GB2312" w:cs="仿宋_GB2312"/>
          <w:kern w:val="2"/>
          <w:sz w:val="32"/>
          <w:szCs w:val="32"/>
          <w:lang w:val="en-US" w:eastAsia="zh-CN" w:bidi="ar"/>
        </w:rPr>
        <w:t>申请入选预选库的单位，须符合下列条件：</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（一）投标人必须具有独立法人资格（提供相关证明扫描件）；</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（二）投标人具有建设主管部门颁发的有效《安全生产许可证》；</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（三）投标人具有建筑装修装饰工程专业承包资质或市政公用工程施工总承包资质或消防设施工程专业承包资质；</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（四）不接受联合体投标，中标单位严禁分包及转包。</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第八条</w:t>
      </w:r>
      <w:r>
        <w:rPr>
          <w:rFonts w:hint="eastAsia" w:ascii="仿宋_GB2312" w:hAnsi="仿宋_GB2312" w:eastAsia="仿宋_GB2312" w:cs="仿宋_GB2312"/>
          <w:kern w:val="2"/>
          <w:sz w:val="32"/>
          <w:szCs w:val="32"/>
          <w:lang w:val="en-US" w:eastAsia="zh-CN" w:bidi="ar"/>
        </w:rPr>
        <w:t xml:space="preserve"> 预选供应商在申请入库近三年内，有下列情形之一的，不予申请入库：</w:t>
      </w:r>
    </w:p>
    <w:p>
      <w:pPr>
        <w:keepNext w:val="0"/>
        <w:keepLines w:val="0"/>
        <w:widowControl w:val="0"/>
        <w:numPr>
          <w:ilvl w:val="0"/>
          <w:numId w:val="1"/>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弄虚作假、隐瞒真实情况骗取入围供应商资格的；</w:t>
      </w:r>
    </w:p>
    <w:p>
      <w:pPr>
        <w:keepNext w:val="0"/>
        <w:keepLines w:val="0"/>
        <w:widowControl w:val="0"/>
        <w:numPr>
          <w:ilvl w:val="0"/>
          <w:numId w:val="1"/>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因行贿、受贿、串通投标、转包、挂靠受到有关政府部门处罚的；</w:t>
      </w:r>
    </w:p>
    <w:p>
      <w:pPr>
        <w:keepNext w:val="0"/>
        <w:keepLines w:val="0"/>
        <w:widowControl w:val="0"/>
        <w:numPr>
          <w:ilvl w:val="0"/>
          <w:numId w:val="1"/>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中标后无正当理由不与采购单位签订合同的；</w:t>
      </w:r>
    </w:p>
    <w:p>
      <w:pPr>
        <w:keepNext w:val="0"/>
        <w:keepLines w:val="0"/>
        <w:widowControl w:val="0"/>
        <w:numPr>
          <w:ilvl w:val="0"/>
          <w:numId w:val="1"/>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擅自变更或者中止采购合同的；</w:t>
      </w:r>
    </w:p>
    <w:p>
      <w:pPr>
        <w:keepNext w:val="0"/>
        <w:keepLines w:val="0"/>
        <w:widowControl w:val="0"/>
        <w:numPr>
          <w:ilvl w:val="0"/>
          <w:numId w:val="1"/>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对存在重大工程安全、质量隐患的工程，经责令整改或停工，拒不改正继续施工的；</w:t>
      </w:r>
    </w:p>
    <w:p>
      <w:pPr>
        <w:keepNext w:val="0"/>
        <w:keepLines w:val="0"/>
        <w:widowControl w:val="0"/>
        <w:numPr>
          <w:ilvl w:val="0"/>
          <w:numId w:val="1"/>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拒绝有关部门检查或者不如实反映情况、提供材料的；</w:t>
      </w:r>
    </w:p>
    <w:p>
      <w:pPr>
        <w:keepNext w:val="0"/>
        <w:keepLines w:val="0"/>
        <w:widowControl w:val="0"/>
        <w:numPr>
          <w:ilvl w:val="0"/>
          <w:numId w:val="1"/>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不按采购文件、投标文件或谈判约定以及采购合同要求全面真实履约，履约情况评价不合格的；</w:t>
      </w:r>
    </w:p>
    <w:p>
      <w:pPr>
        <w:keepNext w:val="0"/>
        <w:keepLines w:val="0"/>
        <w:widowControl w:val="0"/>
        <w:numPr>
          <w:ilvl w:val="0"/>
          <w:numId w:val="1"/>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因其公司资质降低达不到预选供应商资质条件的；</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b/>
          <w:sz w:val="32"/>
          <w:szCs w:val="32"/>
          <w:lang w:val="en-US"/>
        </w:rPr>
      </w:pPr>
      <w:r>
        <w:rPr>
          <w:rFonts w:hint="eastAsia" w:ascii="仿宋_GB2312" w:hAnsi="仿宋_GB2312" w:eastAsia="仿宋_GB2312" w:cs="仿宋_GB2312"/>
          <w:kern w:val="2"/>
          <w:sz w:val="32"/>
          <w:szCs w:val="32"/>
          <w:lang w:val="en-US" w:eastAsia="zh-CN" w:bidi="ar"/>
        </w:rPr>
        <w:t>（九）其它造成严重后果或恶劣影响的行为；</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第九条</w:t>
      </w:r>
      <w:r>
        <w:rPr>
          <w:rFonts w:hint="eastAsia" w:ascii="楷体_GB2312" w:hAnsi="楷体_GB2312" w:eastAsia="楷体_GB2312" w:cs="楷体_GB2312"/>
          <w:b/>
          <w:color w:val="000000"/>
          <w:kern w:val="2"/>
          <w:sz w:val="32"/>
          <w:szCs w:val="32"/>
          <w:lang w:val="en-US" w:eastAsia="zh-CN" w:bidi="ar"/>
        </w:rPr>
        <w:t xml:space="preserve"> </w:t>
      </w:r>
      <w:r>
        <w:rPr>
          <w:rFonts w:hint="eastAsia" w:ascii="仿宋_GB2312" w:hAnsi="仿宋_GB2312" w:eastAsia="仿宋_GB2312" w:cs="仿宋_GB2312"/>
          <w:kern w:val="2"/>
          <w:sz w:val="32"/>
          <w:szCs w:val="32"/>
          <w:lang w:val="en-US" w:eastAsia="zh-CN" w:bidi="ar"/>
        </w:rPr>
        <w:t>预选库入选工作按照下列程序进行：</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楷体_GB2312" w:hAnsi="楷体_GB2312" w:eastAsia="楷体_GB2312" w:cs="楷体_GB2312"/>
          <w:kern w:val="2"/>
          <w:sz w:val="32"/>
          <w:szCs w:val="32"/>
          <w:lang w:val="en-US" w:eastAsia="zh-CN" w:bidi="ar"/>
        </w:rPr>
        <w:t>（一）公告。</w:t>
      </w:r>
      <w:r>
        <w:rPr>
          <w:rFonts w:hint="eastAsia" w:ascii="仿宋_GB2312" w:hAnsi="仿宋_GB2312" w:eastAsia="仿宋_GB2312" w:cs="仿宋_GB2312"/>
          <w:kern w:val="2"/>
          <w:sz w:val="32"/>
          <w:szCs w:val="32"/>
          <w:lang w:val="en-US" w:eastAsia="zh-CN" w:bidi="ar"/>
        </w:rPr>
        <w:t>街道在相关门户网站发布受理入库申请的公告，公布申请条件、入选方法、类别、录取名额等有关信息，公告时间不得少于10日，报名时间不少于5个工作日。</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楷体_GB2312" w:hAnsi="楷体_GB2312" w:eastAsia="楷体_GB2312" w:cs="楷体_GB2312"/>
          <w:kern w:val="2"/>
          <w:sz w:val="32"/>
          <w:szCs w:val="32"/>
          <w:lang w:val="en-US" w:eastAsia="zh-CN" w:bidi="ar"/>
        </w:rPr>
        <w:t>（二）报名。</w:t>
      </w:r>
      <w:r>
        <w:rPr>
          <w:rFonts w:hint="eastAsia" w:ascii="仿宋_GB2312" w:hAnsi="仿宋_GB2312" w:eastAsia="仿宋_GB2312" w:cs="仿宋_GB2312"/>
          <w:kern w:val="2"/>
          <w:sz w:val="32"/>
          <w:szCs w:val="32"/>
          <w:lang w:val="en-US" w:eastAsia="zh-CN" w:bidi="ar"/>
        </w:rPr>
        <w:t>申请入库的单位按照公告要求在规定时间内报送书面申请、提交相关材料。</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楷体_GB2312" w:hAnsi="楷体_GB2312" w:eastAsia="楷体_GB2312" w:cs="楷体_GB2312"/>
          <w:kern w:val="2"/>
          <w:sz w:val="32"/>
          <w:szCs w:val="32"/>
          <w:lang w:val="en-US" w:eastAsia="zh-CN" w:bidi="ar"/>
        </w:rPr>
        <w:t>（三）开标评标。</w:t>
      </w:r>
      <w:r>
        <w:rPr>
          <w:rFonts w:hint="eastAsia" w:ascii="仿宋_GB2312" w:hAnsi="仿宋_GB2312" w:eastAsia="仿宋_GB2312" w:cs="仿宋_GB2312"/>
          <w:kern w:val="2"/>
          <w:sz w:val="32"/>
          <w:szCs w:val="32"/>
          <w:lang w:val="en-US" w:eastAsia="zh-CN" w:bidi="ar"/>
        </w:rPr>
        <w:t>对申请入库单位提交的资料进行评审，审核不通过的，取消其申请入库资格。</w:t>
      </w:r>
    </w:p>
    <w:p>
      <w:pPr>
        <w:keepNext w:val="0"/>
        <w:keepLines w:val="0"/>
        <w:widowControl w:val="0"/>
        <w:suppressLineNumbers w:val="0"/>
        <w:wordWrap w:val="0"/>
        <w:autoSpaceDE w:val="0"/>
        <w:autoSpaceDN w:val="0"/>
        <w:spacing w:before="0" w:beforeAutospacing="0" w:after="0" w:afterAutospacing="0" w:line="560" w:lineRule="exact"/>
        <w:ind w:left="0" w:right="0" w:firstLine="640" w:firstLineChars="200"/>
        <w:jc w:val="both"/>
        <w:rPr>
          <w:rFonts w:hint="eastAsia" w:ascii="仿宋_GB2312" w:hAnsi="仿宋" w:eastAsia="仿宋_GB2312" w:cs="仿宋_GB2312"/>
          <w:sz w:val="32"/>
          <w:szCs w:val="32"/>
          <w:lang w:val="en-US"/>
        </w:rPr>
      </w:pPr>
      <w:r>
        <w:rPr>
          <w:rFonts w:hint="eastAsia" w:ascii="楷体_GB2312" w:hAnsi="楷体_GB2312" w:eastAsia="楷体_GB2312" w:cs="楷体_GB2312"/>
          <w:kern w:val="2"/>
          <w:sz w:val="32"/>
          <w:szCs w:val="32"/>
          <w:lang w:val="en-US" w:eastAsia="zh-CN" w:bidi="ar"/>
        </w:rPr>
        <w:t>（四）中标公示。</w:t>
      </w:r>
      <w:r>
        <w:rPr>
          <w:rFonts w:hint="eastAsia" w:ascii="仿宋_GB2312" w:hAnsi="仿宋_GB2312" w:eastAsia="仿宋_GB2312" w:cs="仿宋_GB2312"/>
          <w:kern w:val="2"/>
          <w:sz w:val="32"/>
          <w:szCs w:val="32"/>
          <w:lang w:val="en-US" w:eastAsia="zh-CN" w:bidi="ar"/>
        </w:rPr>
        <w:t>最终评定入库的20家单位在街道门户网站公示，公示期3天</w:t>
      </w:r>
      <w:r>
        <w:rPr>
          <w:rFonts w:hint="eastAsia" w:ascii="仿宋_GB2312" w:hAnsi="仿宋"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楷体_GB2312" w:hAnsi="楷体_GB2312" w:eastAsia="楷体_GB2312" w:cs="楷体_GB2312"/>
          <w:kern w:val="2"/>
          <w:sz w:val="32"/>
          <w:szCs w:val="32"/>
          <w:lang w:val="en-US" w:eastAsia="zh-CN" w:bidi="ar"/>
        </w:rPr>
        <w:t>（五）中标通知书。</w:t>
      </w:r>
      <w:r>
        <w:rPr>
          <w:rFonts w:hint="eastAsia" w:ascii="仿宋_GB2312" w:hAnsi="仿宋_GB2312" w:eastAsia="仿宋_GB2312" w:cs="仿宋_GB2312"/>
          <w:kern w:val="2"/>
          <w:sz w:val="32"/>
          <w:szCs w:val="32"/>
          <w:lang w:val="en-US" w:eastAsia="zh-CN" w:bidi="ar"/>
        </w:rPr>
        <w:t>中标结果公示无异议，向入库单位发放《中标通知书》。</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第三章 预选库的使用</w:t>
      </w: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第十条</w:t>
      </w:r>
      <w:r>
        <w:rPr>
          <w:rFonts w:hint="eastAsia" w:ascii="仿宋" w:hAnsi="仿宋" w:eastAsia="仿宋" w:cs="仿宋"/>
          <w:kern w:val="2"/>
          <w:sz w:val="32"/>
          <w:szCs w:val="32"/>
          <w:lang w:val="en-US" w:eastAsia="zh-CN" w:bidi="ar"/>
        </w:rPr>
        <w:t xml:space="preserve"> 街道各</w:t>
      </w:r>
      <w:r>
        <w:rPr>
          <w:rFonts w:hint="eastAsia" w:ascii="仿宋_GB2312" w:hAnsi="仿宋_GB2312" w:eastAsia="仿宋_GB2312" w:cs="仿宋_GB2312"/>
          <w:kern w:val="2"/>
          <w:sz w:val="32"/>
          <w:szCs w:val="32"/>
          <w:lang w:val="en-US" w:eastAsia="zh-CN" w:bidi="ar"/>
        </w:rPr>
        <w:t>采购部门原则上按照以下规则选择确定预选供应商。</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（一）预算金额在5万元以下的工程项目，采购部门可自行决定是否在预选库中选择供应商，选择结果报街道办事处主任审批或主任会议审议后执行。</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（二）预算金额在5万元以上的工程项目，施工发包采取从预选库中抽签的方式选择供应商，选择结果报街道办事处主任会议或街道党工委会议审议后执行。</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第十一条</w:t>
      </w:r>
      <w:r>
        <w:rPr>
          <w:rFonts w:hint="eastAsia" w:ascii="仿宋_GB2312" w:hAnsi="仿宋_GB2312" w:eastAsia="仿宋_GB2312" w:cs="仿宋_GB2312"/>
          <w:kern w:val="2"/>
          <w:sz w:val="32"/>
          <w:szCs w:val="32"/>
          <w:lang w:val="en-US" w:eastAsia="zh-CN" w:bidi="ar"/>
        </w:rPr>
        <w:t xml:space="preserve"> 根据工程项目类别，从相应类组的预选库中抽签选定供应商签订承包合同承接任务。发包流程如下：</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（一）由采购部门向预选供应商发出邀请，预选供应商应配合街道开展相关发包活动；</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（二）被邀参与抽签发包活动的预选供应商应按发包要求提供相关资料文件供审核合格后方可参与发包抽签；</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（三）项目发包采取抽签方式确定；</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（四）供应商获得项目承包权后，应在10个工作日内完成采购合同签订。</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第十二条</w:t>
      </w:r>
      <w:r>
        <w:rPr>
          <w:rFonts w:hint="eastAsia" w:ascii="仿宋_GB2312" w:hAnsi="仿宋_GB2312" w:eastAsia="仿宋_GB2312" w:cs="仿宋_GB2312"/>
          <w:kern w:val="2"/>
          <w:sz w:val="32"/>
          <w:szCs w:val="32"/>
          <w:lang w:val="en-US" w:eastAsia="zh-CN" w:bidi="ar"/>
        </w:rPr>
        <w:t xml:space="preserve"> 发包有关事项要求：</w:t>
      </w:r>
    </w:p>
    <w:p>
      <w:pPr>
        <w:keepNext w:val="0"/>
        <w:keepLines w:val="0"/>
        <w:widowControl w:val="0"/>
        <w:suppressLineNumbers w:val="0"/>
        <w:spacing w:before="0" w:beforeAutospacing="0" w:after="0" w:afterAutospacing="0" w:line="560" w:lineRule="exact"/>
        <w:ind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（一）为保证施工质量，实行“一中一停”的采购方式，预选供应商在抽中一个项目后，轮空一次后方可继续参与抽签。</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（二）同一项目的设计单位不参与施工项目的抽签分配。</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（三）若按期参加抽签发包活动的预选供应商不足3家时，街道有权暂停该次发包活动。</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四）对预选供应商参加项目发包会议的出席率考核要求：不强制各预选供应商出席每次项目发包会议，但对出席率实行考核管理，在服务期限内，不按时参加项目发包会议的，取消当次抽签资格；无特殊原因，每累计缺席2次发包会议，暂停1次发包抽签资格；累计3次暂停记录的，给予清出预选供应商库的处理</w:t>
      </w:r>
      <w:r>
        <w:rPr>
          <w:rFonts w:hint="eastAsia" w:ascii="仿宋_GB2312" w:hAnsi="仿宋" w:eastAsia="仿宋_GB2312" w:cs="仿宋_GB2312"/>
          <w:kern w:val="2"/>
          <w:sz w:val="32"/>
          <w:szCs w:val="32"/>
          <w:lang w:val="en-US" w:eastAsia="zh-CN" w:bidi="ar"/>
        </w:rPr>
        <w:t>。</w:t>
      </w:r>
      <w:r>
        <w:rPr>
          <w:rFonts w:hint="eastAsia" w:ascii="仿宋_GB2312" w:hAnsi="Times New Roman" w:eastAsia="仿宋_GB2312" w:cs="仿宋_GB2312"/>
          <w:kern w:val="2"/>
          <w:sz w:val="32"/>
          <w:szCs w:val="32"/>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第四章 预选库监督管理</w:t>
      </w:r>
    </w:p>
    <w:p>
      <w:pPr>
        <w:keepNext w:val="0"/>
        <w:keepLines w:val="0"/>
        <w:widowControl w:val="0"/>
        <w:suppressLineNumbers w:val="0"/>
        <w:spacing w:before="0" w:beforeAutospacing="0" w:after="0" w:afterAutospacing="0" w:line="560" w:lineRule="exact"/>
        <w:ind w:left="0" w:right="0"/>
        <w:jc w:val="both"/>
        <w:rPr>
          <w:rFonts w:hint="eastAsia" w:ascii="仿宋_GB2312" w:hAnsi="仿宋_GB2312" w:eastAsia="仿宋_GB2312" w:cs="仿宋_GB2312"/>
          <w:b/>
          <w:color w:val="00000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第十三条</w:t>
      </w:r>
      <w:r>
        <w:rPr>
          <w:rFonts w:hint="eastAsia" w:ascii="仿宋_GB2312" w:hAnsi="仿宋_GB2312" w:eastAsia="仿宋_GB2312" w:cs="仿宋_GB2312"/>
          <w:kern w:val="2"/>
          <w:sz w:val="32"/>
          <w:szCs w:val="32"/>
          <w:lang w:val="en-US" w:eastAsia="zh-CN" w:bidi="ar"/>
        </w:rPr>
        <w:t xml:space="preserve"> 街道采购办公室负责预选库的日常监督管理。</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第十四条</w:t>
      </w:r>
      <w:r>
        <w:rPr>
          <w:rFonts w:hint="eastAsia" w:ascii="仿宋_GB2312" w:hAnsi="仿宋_GB2312" w:eastAsia="仿宋_GB2312" w:cs="仿宋_GB2312"/>
          <w:kern w:val="2"/>
          <w:sz w:val="32"/>
          <w:szCs w:val="32"/>
          <w:lang w:val="en-US" w:eastAsia="zh-CN" w:bidi="ar"/>
        </w:rPr>
        <w:t xml:space="preserve"> 建立履约评价和动态管理机制。</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第十五条</w:t>
      </w:r>
      <w:r>
        <w:rPr>
          <w:rFonts w:hint="eastAsia" w:ascii="仿宋_GB2312" w:hAnsi="仿宋_GB2312" w:eastAsia="仿宋_GB2312" w:cs="仿宋_GB2312"/>
          <w:b/>
          <w:kern w:val="2"/>
          <w:sz w:val="32"/>
          <w:szCs w:val="32"/>
          <w:lang w:val="en-US" w:eastAsia="zh-CN" w:bidi="ar"/>
        </w:rPr>
        <w:t xml:space="preserve"> </w:t>
      </w:r>
      <w:r>
        <w:rPr>
          <w:rFonts w:hint="eastAsia" w:ascii="仿宋_GB2312" w:hAnsi="仿宋_GB2312" w:eastAsia="仿宋_GB2312" w:cs="仿宋_GB2312"/>
          <w:kern w:val="2"/>
          <w:sz w:val="32"/>
          <w:szCs w:val="32"/>
          <w:lang w:val="en-US" w:eastAsia="zh-CN" w:bidi="ar"/>
        </w:rPr>
        <w:t>每项工程完成后，采购部门应对供应商开展履约评价，并将履约评价报告交街道采购办公室进行审查及备案。履约评价报告内容应客观公正，包括服务内容、人员配备、服务质量、服务周期、服务收费、服务态度和诚信情况等。</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第十六条</w:t>
      </w:r>
      <w:r>
        <w:rPr>
          <w:rFonts w:hint="eastAsia" w:ascii="仿宋_GB2312" w:hAnsi="仿宋_GB2312" w:eastAsia="仿宋_GB2312" w:cs="仿宋_GB2312"/>
          <w:kern w:val="2"/>
          <w:sz w:val="32"/>
          <w:szCs w:val="32"/>
          <w:lang w:val="en-US" w:eastAsia="zh-CN" w:bidi="ar"/>
        </w:rPr>
        <w:t xml:space="preserve"> 街道采购办公室收到履约评价报告后应及时审查并公示履约评价合格或不合格的情况，实时公示不良行为记录和黑名单。</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 xml:space="preserve">第十七条 </w:t>
      </w:r>
      <w:r>
        <w:rPr>
          <w:rFonts w:hint="eastAsia" w:ascii="仿宋_GB2312" w:hAnsi="仿宋_GB2312" w:eastAsia="仿宋_GB2312" w:cs="仿宋_GB2312"/>
          <w:kern w:val="2"/>
          <w:sz w:val="32"/>
          <w:szCs w:val="32"/>
          <w:lang w:val="en-US" w:eastAsia="zh-CN" w:bidi="ar"/>
        </w:rPr>
        <w:t>采购部门对其做出的履约评价有一次不合格的，街道暂停其承接项目资格6个月。</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第十八条</w:t>
      </w:r>
      <w:r>
        <w:rPr>
          <w:rFonts w:hint="eastAsia" w:ascii="仿宋_GB2312" w:hAnsi="仿宋_GB2312" w:eastAsia="仿宋_GB2312" w:cs="仿宋_GB2312"/>
          <w:kern w:val="2"/>
          <w:sz w:val="32"/>
          <w:szCs w:val="32"/>
          <w:lang w:val="en-US" w:eastAsia="zh-CN" w:bidi="ar"/>
        </w:rPr>
        <w:t xml:space="preserve"> 预选供应商有以下情形之一的，街道将其清出预选库并列入黑名单：</w:t>
      </w:r>
    </w:p>
    <w:p>
      <w:pPr>
        <w:keepNext w:val="0"/>
        <w:keepLines w:val="0"/>
        <w:widowControl w:val="0"/>
        <w:numPr>
          <w:ilvl w:val="0"/>
          <w:numId w:val="0"/>
        </w:numPr>
        <w:suppressLineNumbers w:val="0"/>
        <w:spacing w:before="0" w:beforeAutospacing="0" w:after="0" w:afterAutospacing="0" w:line="560" w:lineRule="exact"/>
        <w:ind w:right="0" w:rightChars="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（一）以欺骗、贿赂等不正当手段入选预选库的。</w:t>
      </w:r>
    </w:p>
    <w:p>
      <w:pPr>
        <w:keepNext w:val="0"/>
        <w:keepLines w:val="0"/>
        <w:widowControl w:val="0"/>
        <w:numPr>
          <w:ilvl w:val="0"/>
          <w:numId w:val="0"/>
        </w:numPr>
        <w:suppressLineNumbers w:val="0"/>
        <w:spacing w:before="0" w:beforeAutospacing="0" w:after="0" w:afterAutospacing="0" w:line="560" w:lineRule="exact"/>
        <w:ind w:right="0" w:rightChars="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（二）累计3次暂停记录的。</w:t>
      </w:r>
    </w:p>
    <w:p>
      <w:pPr>
        <w:keepNext w:val="0"/>
        <w:keepLines w:val="0"/>
        <w:widowControl w:val="0"/>
        <w:numPr>
          <w:ilvl w:val="0"/>
          <w:numId w:val="0"/>
        </w:numPr>
        <w:suppressLineNumbers w:val="0"/>
        <w:spacing w:before="0" w:beforeAutospacing="0" w:after="0" w:afterAutospacing="0" w:line="560" w:lineRule="exact"/>
        <w:ind w:right="0" w:rightChars="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（三）在开展工作过程中，存在严重工作过失，造成重大损失或不利影响，造成重大质量安全事故或重大环境事故的。</w:t>
      </w:r>
    </w:p>
    <w:p>
      <w:pPr>
        <w:keepNext w:val="0"/>
        <w:keepLines w:val="0"/>
        <w:widowControl w:val="0"/>
        <w:numPr>
          <w:ilvl w:val="0"/>
          <w:numId w:val="0"/>
        </w:numPr>
        <w:suppressLineNumbers w:val="0"/>
        <w:spacing w:before="0" w:beforeAutospacing="0" w:after="0" w:afterAutospacing="0" w:line="560" w:lineRule="exact"/>
        <w:ind w:right="0" w:rightChars="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（四）将承接项目转包或者违法分包的。</w:t>
      </w:r>
    </w:p>
    <w:p>
      <w:pPr>
        <w:keepNext w:val="0"/>
        <w:keepLines w:val="0"/>
        <w:widowControl w:val="0"/>
        <w:numPr>
          <w:ilvl w:val="0"/>
          <w:numId w:val="0"/>
        </w:numPr>
        <w:suppressLineNumbers w:val="0"/>
        <w:spacing w:before="0" w:beforeAutospacing="0" w:after="0" w:afterAutospacing="0" w:line="560" w:lineRule="exact"/>
        <w:ind w:right="0" w:rightChars="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（五）签订合同后因自身原因不履行或拒绝履行合约的。</w:t>
      </w:r>
    </w:p>
    <w:p>
      <w:pPr>
        <w:keepNext w:val="0"/>
        <w:keepLines w:val="0"/>
        <w:widowControl w:val="0"/>
        <w:numPr>
          <w:ilvl w:val="0"/>
          <w:numId w:val="0"/>
        </w:numPr>
        <w:suppressLineNumbers w:val="0"/>
        <w:spacing w:before="0" w:beforeAutospacing="0" w:after="0" w:afterAutospacing="0" w:line="560" w:lineRule="exact"/>
        <w:ind w:right="0" w:rightChars="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（六）违反法律、行政法规和国家强制性规定的。</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第十九条</w:t>
      </w:r>
      <w:r>
        <w:rPr>
          <w:rFonts w:hint="eastAsia" w:ascii="楷体_GB2312" w:hAnsi="楷体_GB2312" w:eastAsia="楷体_GB2312" w:cs="楷体_GB2312"/>
          <w:b/>
          <w:color w:val="000000"/>
          <w:kern w:val="2"/>
          <w:sz w:val="32"/>
          <w:szCs w:val="32"/>
          <w:lang w:val="en-US" w:eastAsia="zh-CN" w:bidi="ar"/>
        </w:rPr>
        <w:t xml:space="preserve"> </w:t>
      </w:r>
      <w:r>
        <w:rPr>
          <w:rFonts w:hint="eastAsia" w:ascii="仿宋_GB2312" w:hAnsi="仿宋_GB2312" w:eastAsia="仿宋_GB2312" w:cs="仿宋_GB2312"/>
          <w:kern w:val="2"/>
          <w:sz w:val="32"/>
          <w:szCs w:val="32"/>
          <w:lang w:val="en-US" w:eastAsia="zh-CN" w:bidi="ar"/>
        </w:rPr>
        <w:t>预选供应商因自身原因主动退出预选库的，须及时向街道采购办报备。</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第二十条</w:t>
      </w:r>
      <w:r>
        <w:rPr>
          <w:rFonts w:hint="eastAsia" w:ascii="仿宋_GB2312" w:hAnsi="仿宋_GB2312" w:eastAsia="仿宋_GB2312" w:cs="仿宋_GB2312"/>
          <w:kern w:val="2"/>
          <w:sz w:val="32"/>
          <w:szCs w:val="32"/>
          <w:lang w:val="en-US" w:eastAsia="zh-CN" w:bidi="ar"/>
        </w:rPr>
        <w:t xml:space="preserve"> 预选供应商有以下情形造成单位资格发生变化的，应主动在10个工作日之内以书面形式向街道采购办报送相关材料。如发现未主动申报的，街道有权责令其限期整改：</w:t>
      </w:r>
    </w:p>
    <w:p>
      <w:pPr>
        <w:keepNext w:val="0"/>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企业变更（合并、重组、分立、撤销、法人代表、单位名称、注册资本、企业资质）的。</w:t>
      </w:r>
    </w:p>
    <w:p>
      <w:pPr>
        <w:keepNext w:val="0"/>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技术负责人和专业技术人员资格发生变动的。</w:t>
      </w:r>
    </w:p>
    <w:p>
      <w:pPr>
        <w:keepNext w:val="0"/>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预选供应商及从业人员受到相关部门处罚的。</w:t>
      </w:r>
    </w:p>
    <w:p>
      <w:pPr>
        <w:keepNext w:val="0"/>
        <w:keepLines w:val="0"/>
        <w:widowControl w:val="0"/>
        <w:numPr>
          <w:ilvl w:val="0"/>
          <w:numId w:val="2"/>
        </w:numPr>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涉及诉讼或重大安全生产事故的。</w:t>
      </w:r>
    </w:p>
    <w:p>
      <w:pPr>
        <w:keepNext w:val="0"/>
        <w:keepLines w:val="0"/>
        <w:widowControl w:val="0"/>
        <w:suppressLineNumbers w:val="0"/>
        <w:wordWrap w:val="0"/>
        <w:spacing w:before="0" w:beforeAutospacing="0" w:after="0" w:afterAutospacing="0" w:line="560" w:lineRule="exact"/>
        <w:ind w:left="0" w:right="0" w:firstLine="643" w:firstLineChars="200"/>
        <w:jc w:val="both"/>
        <w:rPr>
          <w:rFonts w:hint="eastAsia" w:ascii="仿宋_GB2312" w:hAnsi="仿宋"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第二十一条</w:t>
      </w:r>
      <w:r>
        <w:rPr>
          <w:rFonts w:hint="eastAsia" w:ascii="仿宋_GB2312" w:hAnsi="仿宋_GB2312" w:eastAsia="仿宋_GB2312" w:cs="仿宋_GB2312"/>
          <w:kern w:val="2"/>
          <w:sz w:val="32"/>
          <w:szCs w:val="32"/>
          <w:lang w:val="en-US" w:eastAsia="zh-CN" w:bidi="ar"/>
        </w:rPr>
        <w:t xml:space="preserve"> 对履约评价有异议的，应在知道或应该知道履约报告公示之日起3个工作日内，向街道采购办公室书面提出实名申诉。申诉应有明确的请求和必要的证明材料，逾期将不予受理。街道采购办公室在收到申诉后应及时处理</w:t>
      </w:r>
      <w:r>
        <w:rPr>
          <w:rFonts w:hint="eastAsia" w:ascii="仿宋_GB2312" w:hAnsi="仿宋" w:eastAsia="仿宋_GB2312" w:cs="仿宋_GB2312"/>
          <w:kern w:val="2"/>
          <w:sz w:val="32"/>
          <w:szCs w:val="32"/>
          <w:lang w:val="en-US" w:eastAsia="zh-CN" w:bidi="ar"/>
        </w:rPr>
        <w:t>。</w:t>
      </w:r>
    </w:p>
    <w:p>
      <w:pPr>
        <w:keepNext w:val="0"/>
        <w:keepLines w:val="0"/>
        <w:widowControl w:val="0"/>
        <w:suppressLineNumbers w:val="0"/>
        <w:wordWrap w:val="0"/>
        <w:spacing w:before="0" w:beforeAutospacing="0" w:after="0" w:afterAutospacing="0" w:line="560" w:lineRule="exact"/>
        <w:ind w:left="0" w:right="0" w:firstLine="640" w:firstLineChars="200"/>
        <w:jc w:val="both"/>
        <w:rPr>
          <w:rFonts w:hint="eastAsia" w:ascii="仿宋_GB2312" w:hAnsi="仿宋" w:eastAsia="仿宋_GB2312" w:cs="仿宋_GB2312"/>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第五章 法律责任</w:t>
      </w: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 xml:space="preserve">第二十二条 </w:t>
      </w:r>
      <w:r>
        <w:rPr>
          <w:rFonts w:hint="eastAsia" w:ascii="仿宋_GB2312" w:hAnsi="仿宋_GB2312" w:eastAsia="仿宋_GB2312" w:cs="仿宋_GB2312"/>
          <w:kern w:val="2"/>
          <w:sz w:val="32"/>
          <w:szCs w:val="32"/>
          <w:lang w:val="en-US" w:eastAsia="zh-CN" w:bidi="ar"/>
        </w:rPr>
        <w:t>预选库供应商有以下情形之一的，应依法追责：</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（一）不履行工程合同约定义务或履行义务不符合约定要求的，街道可终止合同的执行并要求预选供应商承担相应的赔偿责任；</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（二）在合同履约过程中，如涉及违反法律、行政法规和国家强制性规定的，由有关部门依法处理，构成犯罪的，依法追究刑事责任；</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（三）造成质量安全事故或环境事故的，由有关部门责令限期整改并依法处罚，构成犯罪的，依法追究刑事责任；</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（四）给街道及第三方造成损失的，应承担相应的赔偿责任，相关主管部门视情节轻重依法予以处罚，构成犯罪的，依法追究刑事责任。</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第二十三条</w:t>
      </w:r>
      <w:r>
        <w:rPr>
          <w:rFonts w:hint="eastAsia" w:ascii="仿宋_GB2312" w:hAnsi="仿宋_GB2312" w:eastAsia="仿宋_GB2312" w:cs="仿宋_GB2312"/>
          <w:kern w:val="2"/>
          <w:sz w:val="32"/>
          <w:szCs w:val="32"/>
          <w:lang w:val="en-US" w:eastAsia="zh-CN" w:bidi="ar"/>
        </w:rPr>
        <w:t xml:space="preserve"> 采购过程中，任何部门和个人存在未履行职责、收受供应商贿赂、获取其他不正当利益等违法违规行为的，由有关部门依法处理。</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第六章 附则</w:t>
      </w: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 xml:space="preserve">第二十四条 </w:t>
      </w:r>
      <w:r>
        <w:rPr>
          <w:rFonts w:hint="eastAsia" w:ascii="仿宋_GB2312" w:hAnsi="仿宋_GB2312" w:eastAsia="仿宋_GB2312" w:cs="仿宋_GB2312"/>
          <w:kern w:val="2"/>
          <w:sz w:val="32"/>
          <w:szCs w:val="32"/>
          <w:lang w:val="en-US" w:eastAsia="zh-CN" w:bidi="ar"/>
        </w:rPr>
        <w:t>本暂行办法所称“近三个年度”、“近三年”、“近三个月”，截止日期从发布公告之日倒算。</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 xml:space="preserve">第二十五条 </w:t>
      </w:r>
      <w:r>
        <w:rPr>
          <w:rFonts w:hint="eastAsia" w:ascii="仿宋_GB2312" w:hAnsi="仿宋_GB2312" w:eastAsia="仿宋_GB2312" w:cs="仿宋_GB2312"/>
          <w:kern w:val="2"/>
          <w:sz w:val="32"/>
          <w:szCs w:val="32"/>
          <w:lang w:val="en-US" w:eastAsia="zh-CN" w:bidi="ar"/>
        </w:rPr>
        <w:t>本暂行办法所称“以下”不含本数、“以上”含本数。</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第二十六条</w:t>
      </w:r>
      <w:r>
        <w:rPr>
          <w:rFonts w:hint="eastAsia" w:ascii="仿宋_GB2312" w:hAnsi="仿宋_GB2312" w:eastAsia="仿宋_GB2312" w:cs="仿宋_GB2312"/>
          <w:b/>
          <w:kern w:val="2"/>
          <w:sz w:val="32"/>
          <w:szCs w:val="32"/>
          <w:lang w:val="en-US" w:eastAsia="zh-CN" w:bidi="ar"/>
        </w:rPr>
        <w:t xml:space="preserve"> </w:t>
      </w:r>
      <w:r>
        <w:rPr>
          <w:rFonts w:hint="eastAsia" w:ascii="仿宋_GB2312" w:hAnsi="仿宋_GB2312" w:eastAsia="仿宋_GB2312" w:cs="仿宋_GB2312"/>
          <w:kern w:val="2"/>
          <w:sz w:val="32"/>
          <w:szCs w:val="32"/>
          <w:lang w:val="en-US" w:eastAsia="zh-CN" w:bidi="ar"/>
        </w:rPr>
        <w:t>因工作需要，经街道党工委会议研究决定后可以对预选库的类别及数量进行扩充和调整。</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 xml:space="preserve">第二十七条 </w:t>
      </w:r>
      <w:r>
        <w:rPr>
          <w:rFonts w:hint="eastAsia" w:ascii="仿宋_GB2312" w:hAnsi="仿宋_GB2312" w:eastAsia="仿宋_GB2312" w:cs="仿宋_GB2312"/>
          <w:kern w:val="2"/>
          <w:sz w:val="32"/>
          <w:szCs w:val="32"/>
          <w:lang w:val="en-US" w:eastAsia="zh-CN" w:bidi="ar"/>
        </w:rPr>
        <w:t>本暂行办法由福田区园岭街道办事处负责解释。</w:t>
      </w:r>
    </w:p>
    <w:p>
      <w:pPr>
        <w:keepNext w:val="0"/>
        <w:keepLines w:val="0"/>
        <w:widowControl w:val="0"/>
        <w:suppressLineNumbers w:val="0"/>
        <w:wordWrap w:val="0"/>
        <w:spacing w:before="0" w:beforeAutospacing="0" w:after="0" w:afterAutospacing="0" w:line="560" w:lineRule="exact"/>
        <w:ind w:left="0" w:right="0" w:firstLine="643" w:firstLineChars="200"/>
        <w:jc w:val="both"/>
        <w:rPr>
          <w:rFonts w:hint="eastAsia" w:ascii="仿宋_GB2312" w:hAnsi="仿宋" w:eastAsia="仿宋_GB2312" w:cs="仿宋_GB2312"/>
          <w:sz w:val="32"/>
          <w:szCs w:val="32"/>
          <w:lang w:val="en-US"/>
        </w:rPr>
      </w:pPr>
      <w:r>
        <w:rPr>
          <w:rFonts w:hint="eastAsia" w:ascii="仿宋_GB2312" w:hAnsi="仿宋_GB2312" w:eastAsia="仿宋_GB2312" w:cs="仿宋_GB2312"/>
          <w:b/>
          <w:color w:val="000000"/>
          <w:kern w:val="2"/>
          <w:sz w:val="32"/>
          <w:szCs w:val="32"/>
          <w:lang w:val="en-US" w:eastAsia="zh-CN" w:bidi="ar"/>
        </w:rPr>
        <w:t>第二十八条</w:t>
      </w:r>
      <w:r>
        <w:rPr>
          <w:rFonts w:hint="eastAsia" w:ascii="仿宋_GB2312" w:hAnsi="仿宋_GB2312" w:eastAsia="仿宋_GB2312" w:cs="仿宋_GB2312"/>
          <w:b/>
          <w:kern w:val="2"/>
          <w:sz w:val="32"/>
          <w:szCs w:val="32"/>
          <w:lang w:val="en-US" w:eastAsia="zh-CN" w:bidi="ar"/>
        </w:rPr>
        <w:t xml:space="preserve"> </w:t>
      </w:r>
      <w:r>
        <w:rPr>
          <w:rFonts w:hint="eastAsia" w:ascii="仿宋_GB2312" w:hAnsi="仿宋_GB2312" w:eastAsia="仿宋_GB2312" w:cs="仿宋_GB2312"/>
          <w:kern w:val="2"/>
          <w:sz w:val="32"/>
          <w:szCs w:val="32"/>
          <w:lang w:val="en-US" w:eastAsia="zh-CN" w:bidi="ar"/>
        </w:rPr>
        <w:t>本暂行办法自发布之日起实施。</w:t>
      </w:r>
    </w:p>
    <w:p>
      <w:pPr>
        <w:keepNext w:val="0"/>
        <w:keepLines w:val="0"/>
        <w:widowControl w:val="0"/>
        <w:suppressLineNumbers w:val="0"/>
        <w:wordWrap w:val="0"/>
        <w:spacing w:before="0" w:beforeAutospacing="0" w:after="0" w:afterAutospacing="0" w:line="560" w:lineRule="exact"/>
        <w:ind w:left="0" w:right="0" w:firstLine="640" w:firstLineChars="200"/>
        <w:jc w:val="both"/>
        <w:rPr>
          <w:rFonts w:hint="eastAsia" w:ascii="仿宋_GB2312" w:hAnsi="仿宋" w:eastAsia="仿宋_GB2312" w:cs="仿宋_GB2312"/>
          <w:kern w:val="2"/>
          <w:sz w:val="32"/>
          <w:szCs w:val="32"/>
          <w:lang w:val="en-US" w:eastAsia="zh-CN" w:bidi="ar"/>
        </w:rPr>
      </w:pPr>
    </w:p>
    <w:p>
      <w:pPr>
        <w:keepNext w:val="0"/>
        <w:keepLines w:val="0"/>
        <w:widowControl w:val="0"/>
        <w:suppressLineNumbers w:val="0"/>
        <w:wordWrap w:val="0"/>
        <w:spacing w:before="0" w:beforeAutospacing="0" w:after="0" w:afterAutospacing="0" w:line="560" w:lineRule="exact"/>
        <w:ind w:left="0" w:right="0" w:firstLine="640" w:firstLineChars="200"/>
        <w:jc w:val="both"/>
        <w:rPr>
          <w:rFonts w:hint="eastAsia"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附件：1.供应商签到表</w:t>
      </w:r>
    </w:p>
    <w:p>
      <w:pPr>
        <w:keepNext w:val="0"/>
        <w:keepLines w:val="0"/>
        <w:widowControl w:val="0"/>
        <w:suppressLineNumbers w:val="0"/>
        <w:wordWrap w:val="0"/>
        <w:spacing w:before="0" w:beforeAutospacing="0" w:after="0" w:afterAutospacing="0" w:line="560" w:lineRule="exact"/>
        <w:ind w:left="0" w:right="0" w:firstLine="1600" w:firstLineChars="500"/>
        <w:jc w:val="both"/>
        <w:rPr>
          <w:rFonts w:hint="eastAsia" w:ascii="仿宋_GB2312" w:hAnsi="仿宋" w:eastAsia="仿宋_GB2312" w:cs="仿宋_GB2312"/>
          <w:sz w:val="28"/>
          <w:szCs w:val="28"/>
          <w:lang w:val="en-US"/>
        </w:rPr>
      </w:pPr>
      <w:r>
        <w:rPr>
          <w:rFonts w:hint="eastAsia" w:ascii="仿宋_GB2312" w:hAnsi="仿宋" w:eastAsia="仿宋_GB2312" w:cs="仿宋_GB2312"/>
          <w:kern w:val="2"/>
          <w:sz w:val="32"/>
          <w:szCs w:val="32"/>
          <w:lang w:val="en-US" w:eastAsia="zh-CN" w:bidi="ar"/>
        </w:rPr>
        <w:t>2.抽签记录表</w:t>
      </w: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both"/>
        <w:rPr>
          <w:rFonts w:hint="eastAsia" w:ascii="方正小标宋_GBK" w:hAnsi="方正小标宋_GBK" w:eastAsia="方正小标宋_GBK" w:cs="方正小标宋_GBK"/>
          <w:bCs/>
          <w:sz w:val="36"/>
          <w:szCs w:val="36"/>
          <w:lang w:val="en-US"/>
        </w:rPr>
      </w:pPr>
    </w:p>
    <w:p>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color w:val="000000"/>
          <w:spacing w:val="40"/>
          <w:kern w:val="0"/>
          <w:sz w:val="36"/>
          <w:szCs w:val="36"/>
          <w:lang w:val="en-US"/>
        </w:rPr>
      </w:pPr>
      <w:r>
        <w:rPr>
          <w:rFonts w:hint="eastAsia" w:ascii="方正小标宋_GBK" w:hAnsi="方正小标宋_GBK" w:eastAsia="方正小标宋_GBK" w:cs="方正小标宋_GBK"/>
          <w:bCs/>
          <w:kern w:val="2"/>
          <w:sz w:val="28"/>
          <w:szCs w:val="28"/>
          <w:lang w:val="en-US" w:eastAsia="zh-CN" w:bidi="ar"/>
        </w:rPr>
        <w:t>供应商签到表</w:t>
      </w:r>
    </w:p>
    <w:p>
      <w:pPr>
        <w:keepNext w:val="0"/>
        <w:keepLines w:val="0"/>
        <w:widowControl w:val="0"/>
        <w:suppressLineNumbers w:val="0"/>
        <w:spacing w:before="0" w:beforeAutospacing="0" w:after="0" w:afterAutospacing="0"/>
        <w:ind w:left="0" w:right="0"/>
        <w:jc w:val="both"/>
        <w:rPr>
          <w:rFonts w:hint="eastAsia" w:ascii="仿宋_GB2312" w:eastAsia="仿宋_GB2312" w:cs="仿宋_GB2312"/>
          <w:color w:val="000000"/>
          <w:kern w:val="0"/>
          <w:sz w:val="24"/>
          <w:szCs w:val="24"/>
          <w:lang w:val="en-US"/>
        </w:rPr>
      </w:pPr>
      <w:r>
        <w:rPr>
          <w:rFonts w:hint="eastAsia" w:ascii="仿宋_GB2312" w:hAnsi="Times New Roman" w:eastAsia="仿宋_GB2312" w:cs="仿宋_GB2312"/>
          <w:color w:val="000000"/>
          <w:kern w:val="0"/>
          <w:sz w:val="24"/>
          <w:szCs w:val="24"/>
          <w:lang w:val="en-US" w:eastAsia="zh-CN" w:bidi="ar"/>
        </w:rPr>
        <w:t>项目名称：                      签到</w:t>
      </w:r>
      <w:r>
        <w:rPr>
          <w:rFonts w:hint="eastAsia" w:ascii="仿宋_GB2312" w:hAnsi="Times New Roman" w:eastAsia="仿宋_GB2312" w:cs="仿宋_GB2312"/>
          <w:color w:val="000000"/>
          <w:kern w:val="2"/>
          <w:sz w:val="24"/>
          <w:szCs w:val="24"/>
          <w:lang w:val="en-US" w:eastAsia="zh-CN" w:bidi="ar"/>
        </w:rPr>
        <w:t>日期：</w:t>
      </w:r>
    </w:p>
    <w:tbl>
      <w:tblPr>
        <w:tblStyle w:val="4"/>
        <w:tblpPr w:leftFromText="180" w:rightFromText="180" w:vertAnchor="text" w:horzAnchor="page" w:tblpX="1119" w:tblpY="18"/>
        <w:tblOverlap w:val="never"/>
        <w:tblW w:w="10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94"/>
        <w:gridCol w:w="2535"/>
        <w:gridCol w:w="2693"/>
        <w:gridCol w:w="1843"/>
        <w:gridCol w:w="2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37" w:hRule="atLeast"/>
        </w:trPr>
        <w:tc>
          <w:tcPr>
            <w:tcW w:w="7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序号</w:t>
            </w:r>
          </w:p>
        </w:tc>
        <w:tc>
          <w:tcPr>
            <w:tcW w:w="25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签到单位</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单位代表姓名</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联系方式</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签到时间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699" w:hRule="atLeast"/>
        </w:trPr>
        <w:tc>
          <w:tcPr>
            <w:tcW w:w="7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1</w:t>
            </w:r>
          </w:p>
        </w:tc>
        <w:tc>
          <w:tcPr>
            <w:tcW w:w="25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30" w:hRule="atLeast"/>
        </w:trPr>
        <w:tc>
          <w:tcPr>
            <w:tcW w:w="7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2</w:t>
            </w:r>
          </w:p>
        </w:tc>
        <w:tc>
          <w:tcPr>
            <w:tcW w:w="25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30" w:hRule="atLeast"/>
        </w:trPr>
        <w:tc>
          <w:tcPr>
            <w:tcW w:w="7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3</w:t>
            </w:r>
          </w:p>
        </w:tc>
        <w:tc>
          <w:tcPr>
            <w:tcW w:w="25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30" w:hRule="atLeast"/>
        </w:trPr>
        <w:tc>
          <w:tcPr>
            <w:tcW w:w="7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4</w:t>
            </w:r>
          </w:p>
        </w:tc>
        <w:tc>
          <w:tcPr>
            <w:tcW w:w="25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631" w:hRule="atLeast"/>
        </w:trPr>
        <w:tc>
          <w:tcPr>
            <w:tcW w:w="7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5</w:t>
            </w:r>
          </w:p>
        </w:tc>
        <w:tc>
          <w:tcPr>
            <w:tcW w:w="25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24" w:hRule="atLeast"/>
        </w:trPr>
        <w:tc>
          <w:tcPr>
            <w:tcW w:w="7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6</w:t>
            </w:r>
          </w:p>
        </w:tc>
        <w:tc>
          <w:tcPr>
            <w:tcW w:w="25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color w:val="000000"/>
                <w:sz w:val="24"/>
                <w:szCs w:val="24"/>
                <w:lang w:val="en-US"/>
              </w:rPr>
            </w:pPr>
          </w:p>
        </w:tc>
      </w:tr>
    </w:tbl>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sz w:val="28"/>
          <w:szCs w:val="28"/>
          <w:lang w:val="en-US"/>
        </w:rPr>
      </w:pPr>
      <w:r>
        <w:rPr>
          <w:rFonts w:hint="eastAsia" w:ascii="方正小标宋_GBK" w:hAnsi="方正小标宋_GBK" w:eastAsia="方正小标宋_GBK" w:cs="方正小标宋_GBK"/>
          <w:kern w:val="2"/>
          <w:sz w:val="28"/>
          <w:szCs w:val="28"/>
          <w:lang w:val="en-US" w:eastAsia="zh-CN" w:bidi="ar"/>
        </w:rPr>
        <w:t>抽签记录表</w:t>
      </w:r>
    </w:p>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kern w:val="0"/>
          <w:sz w:val="24"/>
          <w:szCs w:val="24"/>
          <w:lang w:val="en-US"/>
        </w:rPr>
      </w:pPr>
      <w:r>
        <w:rPr>
          <w:rFonts w:hint="eastAsia" w:ascii="仿宋_GB2312" w:hAnsi="Times New Roman" w:eastAsia="仿宋_GB2312" w:cs="仿宋_GB2312"/>
          <w:color w:val="000000"/>
          <w:kern w:val="0"/>
          <w:sz w:val="24"/>
          <w:szCs w:val="24"/>
          <w:lang w:val="en-US" w:eastAsia="zh-CN" w:bidi="ar"/>
        </w:rPr>
        <w:t xml:space="preserve">项目名称： </w:t>
      </w:r>
    </w:p>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抽签地点：                        抽签时间：    年   月   日   点   分</w:t>
      </w:r>
    </w:p>
    <w:tbl>
      <w:tblPr>
        <w:tblStyle w:val="4"/>
        <w:tblpPr w:leftFromText="180" w:rightFromText="180" w:vertAnchor="text" w:horzAnchor="page" w:tblpX="1145" w:tblpY="606"/>
        <w:tblOverlap w:val="never"/>
        <w:tblW w:w="101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50"/>
        <w:gridCol w:w="3617"/>
        <w:gridCol w:w="1267"/>
        <w:gridCol w:w="1183"/>
        <w:gridCol w:w="3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05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序号</w:t>
            </w:r>
          </w:p>
        </w:tc>
        <w:tc>
          <w:tcPr>
            <w:tcW w:w="361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承包（供应）商</w:t>
            </w:r>
          </w:p>
        </w:tc>
        <w:tc>
          <w:tcPr>
            <w:tcW w:w="126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首轮抽取号码</w:t>
            </w:r>
          </w:p>
        </w:tc>
        <w:tc>
          <w:tcPr>
            <w:tcW w:w="118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次轮抽取号码</w:t>
            </w:r>
          </w:p>
        </w:tc>
        <w:tc>
          <w:tcPr>
            <w:tcW w:w="328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法人委托代表姓名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1</w:t>
            </w:r>
          </w:p>
        </w:tc>
        <w:tc>
          <w:tcPr>
            <w:tcW w:w="361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26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183"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328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2</w:t>
            </w:r>
          </w:p>
        </w:tc>
        <w:tc>
          <w:tcPr>
            <w:tcW w:w="361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26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183"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328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3</w:t>
            </w:r>
          </w:p>
        </w:tc>
        <w:tc>
          <w:tcPr>
            <w:tcW w:w="361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26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183"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328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4</w:t>
            </w:r>
          </w:p>
        </w:tc>
        <w:tc>
          <w:tcPr>
            <w:tcW w:w="361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26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183"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328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5</w:t>
            </w:r>
          </w:p>
        </w:tc>
        <w:tc>
          <w:tcPr>
            <w:tcW w:w="361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26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183"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328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6</w:t>
            </w:r>
          </w:p>
        </w:tc>
        <w:tc>
          <w:tcPr>
            <w:tcW w:w="361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26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183"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328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7</w:t>
            </w:r>
          </w:p>
        </w:tc>
        <w:tc>
          <w:tcPr>
            <w:tcW w:w="361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26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183"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328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8</w:t>
            </w:r>
          </w:p>
        </w:tc>
        <w:tc>
          <w:tcPr>
            <w:tcW w:w="361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26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183"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328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9</w:t>
            </w:r>
          </w:p>
        </w:tc>
        <w:tc>
          <w:tcPr>
            <w:tcW w:w="361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26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183"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328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10</w:t>
            </w:r>
          </w:p>
        </w:tc>
        <w:tc>
          <w:tcPr>
            <w:tcW w:w="361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267"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1183"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c>
          <w:tcPr>
            <w:tcW w:w="328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eastAsia="仿宋_GB2312" w:cs="仿宋_GB2312"/>
                <w:color w:val="00000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40" w:lineRule="exact"/>
              <w:ind w:left="0" w:right="0"/>
              <w:jc w:val="center"/>
              <w:rPr>
                <w:rFonts w:hint="eastAsia" w:ascii="仿宋_GB2312" w:eastAsia="仿宋_GB2312" w:cs="仿宋_GB2312"/>
                <w:color w:val="000000"/>
                <w:spacing w:val="29"/>
                <w:kern w:val="0"/>
                <w:sz w:val="24"/>
                <w:szCs w:val="24"/>
                <w:lang w:val="en-US"/>
              </w:rPr>
            </w:pPr>
            <w:r>
              <w:rPr>
                <w:rFonts w:hint="eastAsia" w:ascii="仿宋_GB2312" w:hAnsi="Times New Roman" w:eastAsia="仿宋_GB2312" w:cs="仿宋_GB2312"/>
                <w:color w:val="000000"/>
                <w:spacing w:val="29"/>
                <w:kern w:val="0"/>
                <w:sz w:val="24"/>
                <w:szCs w:val="24"/>
                <w:lang w:val="en-US" w:eastAsia="zh-CN" w:bidi="ar"/>
              </w:rPr>
              <w:t>抽签</w:t>
            </w:r>
          </w:p>
          <w:p>
            <w:pPr>
              <w:keepNext w:val="0"/>
              <w:keepLines w:val="0"/>
              <w:widowControl w:val="0"/>
              <w:suppressLineNumbers w:val="0"/>
              <w:spacing w:before="0" w:beforeAutospacing="0" w:after="0" w:afterAutospacing="0" w:line="340" w:lineRule="exact"/>
              <w:ind w:left="0" w:right="0"/>
              <w:jc w:val="center"/>
              <w:rPr>
                <w:rFonts w:hint="eastAsia" w:ascii="仿宋_GB2312" w:eastAsia="仿宋_GB2312" w:cs="仿宋_GB2312"/>
                <w:color w:val="000000"/>
                <w:spacing w:val="29"/>
                <w:kern w:val="0"/>
                <w:sz w:val="24"/>
                <w:szCs w:val="24"/>
                <w:lang w:val="en-US"/>
              </w:rPr>
            </w:pPr>
            <w:r>
              <w:rPr>
                <w:rFonts w:hint="eastAsia" w:ascii="仿宋_GB2312" w:hAnsi="Times New Roman" w:eastAsia="仿宋_GB2312" w:cs="仿宋_GB2312"/>
                <w:color w:val="000000"/>
                <w:spacing w:val="29"/>
                <w:kern w:val="0"/>
                <w:sz w:val="24"/>
                <w:szCs w:val="24"/>
                <w:lang w:val="en-US" w:eastAsia="zh-CN" w:bidi="ar"/>
              </w:rPr>
              <w:t>情况</w:t>
            </w:r>
          </w:p>
          <w:p>
            <w:pPr>
              <w:keepNext w:val="0"/>
              <w:keepLines w:val="0"/>
              <w:widowControl w:val="0"/>
              <w:suppressLineNumbers w:val="0"/>
              <w:spacing w:before="0" w:beforeAutospacing="0" w:after="0" w:afterAutospacing="0" w:line="34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spacing w:val="29"/>
                <w:kern w:val="0"/>
                <w:sz w:val="24"/>
                <w:szCs w:val="24"/>
                <w:lang w:val="en-US" w:eastAsia="zh-CN" w:bidi="ar"/>
              </w:rPr>
              <w:t>说明</w:t>
            </w:r>
          </w:p>
        </w:tc>
        <w:tc>
          <w:tcPr>
            <w:tcW w:w="9355"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400" w:lineRule="exact"/>
              <w:ind w:left="0" w:right="0"/>
              <w:jc w:val="both"/>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kern w:val="2"/>
                <w:sz w:val="24"/>
                <w:szCs w:val="24"/>
                <w:lang w:val="en-US" w:eastAsia="zh-CN" w:bidi="ar"/>
              </w:rPr>
              <w:t>本次抽签的中标原则是最终抽得最大号码为中标供应商，若出现最大号码相同的，则由最大号码相同的供应商重新进行下一轮抽取，直到抽到最大号码为止。共有</w:t>
            </w:r>
            <w:r>
              <w:rPr>
                <w:rFonts w:hint="eastAsia" w:ascii="仿宋_GB2312" w:hAnsi="Times New Roman" w:eastAsia="仿宋_GB2312" w:cs="仿宋_GB2312"/>
                <w:color w:val="000000"/>
                <w:kern w:val="2"/>
                <w:sz w:val="24"/>
                <w:szCs w:val="24"/>
                <w:u w:val="single"/>
                <w:lang w:val="en-US" w:eastAsia="zh-CN" w:bidi="ar"/>
              </w:rPr>
              <w:t xml:space="preserve">   </w:t>
            </w:r>
            <w:r>
              <w:rPr>
                <w:rFonts w:hint="eastAsia" w:ascii="仿宋_GB2312" w:hAnsi="Times New Roman" w:eastAsia="仿宋_GB2312" w:cs="仿宋_GB2312"/>
                <w:color w:val="000000"/>
                <w:kern w:val="2"/>
                <w:sz w:val="24"/>
                <w:szCs w:val="24"/>
                <w:lang w:val="en-US" w:eastAsia="zh-CN" w:bidi="ar"/>
              </w:rPr>
              <w:t>家单位参加本次抽签，其中                      单位抽得</w:t>
            </w:r>
            <w:r>
              <w:rPr>
                <w:rFonts w:hint="eastAsia" w:ascii="仿宋_GB2312" w:hAnsi="Times New Roman" w:eastAsia="仿宋_GB2312" w:cs="仿宋_GB2312"/>
                <w:color w:val="000000"/>
                <w:kern w:val="2"/>
                <w:sz w:val="24"/>
                <w:szCs w:val="24"/>
                <w:u w:val="single"/>
                <w:lang w:val="en-US" w:eastAsia="zh-CN" w:bidi="ar"/>
              </w:rPr>
              <w:t xml:space="preserve">   </w:t>
            </w:r>
            <w:r>
              <w:rPr>
                <w:rFonts w:hint="eastAsia" w:ascii="仿宋_GB2312" w:hAnsi="Times New Roman" w:eastAsia="仿宋_GB2312" w:cs="仿宋_GB2312"/>
                <w:color w:val="000000"/>
                <w:kern w:val="2"/>
                <w:sz w:val="24"/>
                <w:szCs w:val="24"/>
                <w:lang w:val="en-US" w:eastAsia="zh-CN" w:bidi="ar"/>
              </w:rPr>
              <w:t>号码为本次抽签的最</w:t>
            </w:r>
            <w:r>
              <w:rPr>
                <w:rFonts w:hint="eastAsia" w:ascii="仿宋_GB2312" w:hAnsi="Times New Roman" w:eastAsia="仿宋_GB2312" w:cs="仿宋_GB2312"/>
                <w:color w:val="000000"/>
                <w:kern w:val="2"/>
                <w:sz w:val="24"/>
                <w:szCs w:val="24"/>
                <w:u w:val="single"/>
                <w:lang w:val="en-US" w:eastAsia="zh-CN" w:bidi="ar"/>
              </w:rPr>
              <w:t>大</w:t>
            </w:r>
            <w:r>
              <w:rPr>
                <w:rFonts w:hint="eastAsia" w:ascii="仿宋_GB2312" w:hAnsi="Times New Roman" w:eastAsia="仿宋_GB2312" w:cs="仿宋_GB2312"/>
                <w:color w:val="000000"/>
                <w:kern w:val="2"/>
                <w:sz w:val="24"/>
                <w:szCs w:val="24"/>
                <w:lang w:val="en-US" w:eastAsia="zh-CN" w:bidi="ar"/>
              </w:rPr>
              <w:t>号，被确定为中标单位。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5"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ascii="仿宋_GB2312" w:eastAsia="仿宋_GB2312" w:cs="仿宋_GB2312"/>
                <w:color w:val="000000"/>
                <w:sz w:val="24"/>
                <w:szCs w:val="24"/>
                <w:lang w:val="en-US"/>
              </w:rPr>
            </w:pPr>
            <w:r>
              <w:rPr>
                <w:rFonts w:hint="eastAsia" w:ascii="仿宋_GB2312" w:hAnsi="Times New Roman" w:eastAsia="仿宋_GB2312" w:cs="仿宋_GB2312"/>
                <w:color w:val="000000"/>
                <w:spacing w:val="29"/>
                <w:kern w:val="0"/>
                <w:sz w:val="24"/>
                <w:szCs w:val="24"/>
                <w:lang w:val="en-US" w:eastAsia="zh-CN" w:bidi="ar"/>
              </w:rPr>
              <w:t>采购小组人</w:t>
            </w:r>
            <w:r>
              <w:rPr>
                <w:rFonts w:hint="eastAsia" w:ascii="仿宋_GB2312" w:hAnsi="Times New Roman" w:eastAsia="仿宋_GB2312" w:cs="仿宋_GB2312"/>
                <w:color w:val="000000"/>
                <w:kern w:val="0"/>
                <w:sz w:val="24"/>
                <w:szCs w:val="24"/>
                <w:lang w:val="en-US" w:eastAsia="zh-CN" w:bidi="ar"/>
              </w:rPr>
              <w:t>员</w:t>
            </w:r>
          </w:p>
        </w:tc>
        <w:tc>
          <w:tcPr>
            <w:tcW w:w="9355"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eastAsia="仿宋_GB2312" w:cs="仿宋_GB2312"/>
                <w:color w:val="000000"/>
                <w:sz w:val="24"/>
                <w:szCs w:val="24"/>
                <w:lang w:val="en-US"/>
              </w:rPr>
            </w:pPr>
          </w:p>
        </w:tc>
      </w:tr>
    </w:tbl>
    <w:p>
      <w:pPr>
        <w:pStyle w:val="2"/>
        <w:keepNext w:val="0"/>
        <w:keepLines w:val="0"/>
        <w:widowControl/>
        <w:suppressLineNumbers w:val="0"/>
        <w:spacing w:before="0" w:beforeAutospacing="0" w:after="0" w:afterAutospacing="0" w:line="600" w:lineRule="atLeast"/>
        <w:ind w:left="0" w:right="0"/>
        <w:jc w:val="left"/>
        <w:rPr>
          <w:rFonts w:hint="eastAsia" w:ascii="仿宋" w:hAnsi="仿宋" w:eastAsia="仿宋" w:cs="仿宋"/>
          <w:i w:val="0"/>
          <w:color w:val="333333"/>
          <w:sz w:val="28"/>
          <w:szCs w:val="28"/>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B41CF"/>
    <w:multiLevelType w:val="multilevel"/>
    <w:tmpl w:val="5CEB41CF"/>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5CEB41E5"/>
    <w:multiLevelType w:val="multilevel"/>
    <w:tmpl w:val="5CEB41E5"/>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507F18"/>
    <w:rsid w:val="5D507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2019-05-28T06:50:00Z</dcterms:created>
  <dc:creator>Administrator</dc:creator>
  <cp:lastModifiedBy>Administrator</cp:lastModifiedBy>
  <dcterms:modified xsi:type="dcterms:W3CDTF">2019-05-28T06:53:27Z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